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65" w:rsidRDefault="00616700">
      <w:pPr>
        <w:ind w:left="0" w:hanging="2"/>
        <w:jc w:val="center"/>
        <w:rPr>
          <w:rFonts w:ascii="Arial" w:eastAsia="Arial" w:hAnsi="Arial" w:cs="Arial"/>
          <w:sz w:val="22"/>
          <w:szCs w:val="22"/>
        </w:rPr>
      </w:pPr>
      <w:r>
        <w:rPr>
          <w:rFonts w:ascii="Arial" w:eastAsia="Arial" w:hAnsi="Arial" w:cs="Arial"/>
          <w:b/>
          <w:sz w:val="22"/>
          <w:szCs w:val="22"/>
        </w:rPr>
        <w:t>TERMS OF REFERENCE FOR INDIVIDUAL CONSULTANT</w:t>
      </w:r>
    </w:p>
    <w:p w:rsidR="00054665" w:rsidRDefault="00054665">
      <w:pPr>
        <w:ind w:left="0" w:hanging="2"/>
        <w:jc w:val="center"/>
        <w:rPr>
          <w:rFonts w:ascii="Arial" w:eastAsia="Arial" w:hAnsi="Arial" w:cs="Arial"/>
          <w:sz w:val="22"/>
          <w:szCs w:val="22"/>
        </w:rPr>
      </w:pPr>
    </w:p>
    <w:tbl>
      <w:tblPr>
        <w:tblStyle w:val="a1"/>
        <w:tblW w:w="1044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7710"/>
      </w:tblGrid>
      <w:tr w:rsidR="00054665">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rsidR="00054665" w:rsidRDefault="00616700">
            <w:pPr>
              <w:tabs>
                <w:tab w:val="left" w:pos="-720"/>
              </w:tabs>
              <w:spacing w:before="109" w:after="54"/>
              <w:ind w:left="0" w:hanging="2"/>
              <w:rPr>
                <w:rFonts w:ascii="Arial" w:eastAsia="Arial" w:hAnsi="Arial" w:cs="Arial"/>
                <w:sz w:val="22"/>
                <w:szCs w:val="22"/>
              </w:rPr>
            </w:pPr>
            <w:r>
              <w:rPr>
                <w:rFonts w:ascii="Arial" w:eastAsia="Arial" w:hAnsi="Arial" w:cs="Arial"/>
                <w:b/>
                <w:sz w:val="22"/>
                <w:szCs w:val="22"/>
              </w:rPr>
              <w:t>TERMS OF REFERENCE  -</w:t>
            </w:r>
            <w:r>
              <w:rPr>
                <w:rFonts w:ascii="Arial" w:eastAsia="Arial" w:hAnsi="Arial" w:cs="Arial"/>
                <w:b/>
                <w:sz w:val="22"/>
                <w:szCs w:val="22"/>
              </w:rPr>
              <w:t xml:space="preserve"> Consultant to develop a ‘Collection of research booklet’ </w:t>
            </w:r>
          </w:p>
        </w:tc>
      </w:tr>
      <w:tr w:rsidR="00054665">
        <w:tc>
          <w:tcPr>
            <w:tcW w:w="2730" w:type="dxa"/>
            <w:tcBorders>
              <w:top w:val="single" w:sz="6" w:space="0" w:color="000000"/>
              <w:left w:val="single" w:sz="6" w:space="0" w:color="000000"/>
              <w:bottom w:val="single" w:sz="4"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Hiring Office:</w:t>
            </w:r>
          </w:p>
        </w:tc>
        <w:tc>
          <w:tcPr>
            <w:tcW w:w="7710" w:type="dxa"/>
            <w:tcBorders>
              <w:top w:val="single" w:sz="6" w:space="0" w:color="000000"/>
              <w:left w:val="single" w:sz="6" w:space="0" w:color="000000"/>
              <w:bottom w:val="single" w:sz="4"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highlight w:val="yellow"/>
              </w:rPr>
            </w:pPr>
            <w:r>
              <w:rPr>
                <w:rFonts w:ascii="Arial" w:eastAsia="Arial" w:hAnsi="Arial" w:cs="Arial"/>
                <w:sz w:val="22"/>
                <w:szCs w:val="22"/>
              </w:rPr>
              <w:t>UNFPA, Sri Lanka</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Purpose of consultancy:</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jc w:val="both"/>
              <w:rPr>
                <w:rFonts w:ascii="Arial" w:eastAsia="Arial" w:hAnsi="Arial" w:cs="Arial"/>
                <w:sz w:val="22"/>
                <w:szCs w:val="22"/>
              </w:rPr>
            </w:pPr>
            <w:r>
              <w:rPr>
                <w:rFonts w:ascii="Arial" w:eastAsia="Arial" w:hAnsi="Arial" w:cs="Arial"/>
                <w:sz w:val="22"/>
                <w:szCs w:val="22"/>
              </w:rPr>
              <w:t xml:space="preserve">UNFPA Sri Lanka, as the Sexual and Reproductive agency of the United Nations has worked closely with the National STD and AIDS Control Programme (NSACP) to coordinate the national response to HIV and sexually transmitted infections in Sri Lanka. </w:t>
            </w:r>
          </w:p>
          <w:p w:rsidR="00054665" w:rsidRDefault="00616700">
            <w:pPr>
              <w:tabs>
                <w:tab w:val="left" w:pos="-720"/>
              </w:tabs>
              <w:spacing w:before="40" w:after="54"/>
              <w:ind w:left="0" w:hanging="2"/>
              <w:jc w:val="both"/>
              <w:rPr>
                <w:rFonts w:ascii="Arial" w:eastAsia="Arial" w:hAnsi="Arial" w:cs="Arial"/>
                <w:sz w:val="22"/>
                <w:szCs w:val="22"/>
              </w:rPr>
            </w:pPr>
            <w:r>
              <w:rPr>
                <w:rFonts w:ascii="Arial" w:eastAsia="Arial" w:hAnsi="Arial" w:cs="Arial"/>
                <w:sz w:val="22"/>
                <w:szCs w:val="22"/>
              </w:rPr>
              <w:t>To suppor</w:t>
            </w:r>
            <w:r>
              <w:rPr>
                <w:rFonts w:ascii="Arial" w:eastAsia="Arial" w:hAnsi="Arial" w:cs="Arial"/>
                <w:sz w:val="22"/>
                <w:szCs w:val="22"/>
              </w:rPr>
              <w:t xml:space="preserve">t this effort, UNFPA is supporting NSACP to compile a research booklet compiling all key research to strengthen the evidence base leading to evidence based policy and programme </w:t>
            </w:r>
            <w:proofErr w:type="spellStart"/>
            <w:r>
              <w:rPr>
                <w:rFonts w:ascii="Arial" w:eastAsia="Arial" w:hAnsi="Arial" w:cs="Arial"/>
                <w:sz w:val="22"/>
                <w:szCs w:val="22"/>
              </w:rPr>
              <w:t>designThis</w:t>
            </w:r>
            <w:proofErr w:type="spellEnd"/>
            <w:r>
              <w:rPr>
                <w:rFonts w:ascii="Arial" w:eastAsia="Arial" w:hAnsi="Arial" w:cs="Arial"/>
                <w:sz w:val="22"/>
                <w:szCs w:val="22"/>
              </w:rPr>
              <w:t xml:space="preserve"> will reach the overall goal of the successful implementation of the </w:t>
            </w:r>
            <w:r>
              <w:rPr>
                <w:rFonts w:ascii="Arial" w:eastAsia="Arial" w:hAnsi="Arial" w:cs="Arial"/>
                <w:sz w:val="22"/>
                <w:szCs w:val="22"/>
              </w:rPr>
              <w:t xml:space="preserve">national HIV policy. As such, UNFPA is recruiting </w:t>
            </w:r>
            <w:proofErr w:type="gramStart"/>
            <w:r>
              <w:rPr>
                <w:rFonts w:ascii="Arial" w:eastAsia="Arial" w:hAnsi="Arial" w:cs="Arial"/>
                <w:sz w:val="22"/>
                <w:szCs w:val="22"/>
              </w:rPr>
              <w:t>a  competent</w:t>
            </w:r>
            <w:proofErr w:type="gramEnd"/>
            <w:r>
              <w:rPr>
                <w:rFonts w:ascii="Arial" w:eastAsia="Arial" w:hAnsi="Arial" w:cs="Arial"/>
                <w:sz w:val="22"/>
                <w:szCs w:val="22"/>
              </w:rPr>
              <w:t xml:space="preserve"> consultant to compile and deliver a booklet with key data, findings and recommendations of a collection of research identified by NSACP &amp; UNFPA. </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Scope of work:</w:t>
            </w:r>
          </w:p>
          <w:p w:rsidR="00054665" w:rsidRDefault="00054665">
            <w:pPr>
              <w:tabs>
                <w:tab w:val="left" w:pos="-720"/>
              </w:tabs>
              <w:spacing w:before="40" w:after="54"/>
              <w:ind w:left="0" w:hanging="2"/>
              <w:rPr>
                <w:rFonts w:ascii="Arial" w:eastAsia="Arial" w:hAnsi="Arial" w:cs="Arial"/>
                <w:sz w:val="22"/>
                <w:szCs w:val="22"/>
              </w:rPr>
            </w:pP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i/>
                <w:sz w:val="22"/>
                <w:szCs w:val="22"/>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jc w:val="both"/>
              <w:rPr>
                <w:rFonts w:ascii="Arial" w:eastAsia="Arial" w:hAnsi="Arial" w:cs="Arial"/>
                <w:sz w:val="22"/>
                <w:szCs w:val="22"/>
              </w:rPr>
            </w:pPr>
            <w:r>
              <w:rPr>
                <w:rFonts w:ascii="Arial" w:eastAsia="Arial" w:hAnsi="Arial" w:cs="Arial"/>
                <w:sz w:val="22"/>
                <w:szCs w:val="22"/>
              </w:rPr>
              <w:t xml:space="preserve">The consultant will be provided access to a repository of research identified by NSCAP and UNFPA. </w:t>
            </w:r>
          </w:p>
          <w:p w:rsidR="00054665" w:rsidRDefault="00054665">
            <w:pPr>
              <w:tabs>
                <w:tab w:val="left" w:pos="-720"/>
              </w:tabs>
              <w:spacing w:before="40" w:after="54"/>
              <w:ind w:left="0" w:hanging="2"/>
              <w:jc w:val="both"/>
              <w:rPr>
                <w:rFonts w:ascii="Arial" w:eastAsia="Arial" w:hAnsi="Arial" w:cs="Arial"/>
                <w:sz w:val="22"/>
                <w:szCs w:val="22"/>
              </w:rPr>
            </w:pPr>
          </w:p>
          <w:p w:rsidR="00054665" w:rsidRDefault="00616700">
            <w:pPr>
              <w:tabs>
                <w:tab w:val="left" w:pos="-720"/>
              </w:tabs>
              <w:spacing w:before="40" w:after="54"/>
              <w:ind w:left="0" w:hanging="2"/>
              <w:jc w:val="both"/>
              <w:rPr>
                <w:rFonts w:ascii="Arial" w:eastAsia="Arial" w:hAnsi="Arial" w:cs="Arial"/>
                <w:sz w:val="22"/>
                <w:szCs w:val="22"/>
              </w:rPr>
            </w:pPr>
            <w:r>
              <w:rPr>
                <w:rFonts w:ascii="Arial" w:eastAsia="Arial" w:hAnsi="Arial" w:cs="Arial"/>
                <w:sz w:val="22"/>
                <w:szCs w:val="22"/>
              </w:rPr>
              <w:t>The consultant will:</w:t>
            </w:r>
          </w:p>
          <w:p w:rsidR="00054665" w:rsidRDefault="00616700">
            <w:pPr>
              <w:numPr>
                <w:ilvl w:val="0"/>
                <w:numId w:val="2"/>
              </w:numPr>
              <w:tabs>
                <w:tab w:val="left" w:pos="-720"/>
              </w:tabs>
              <w:spacing w:after="54"/>
              <w:ind w:left="0" w:hanging="2"/>
              <w:jc w:val="both"/>
              <w:rPr>
                <w:rFonts w:ascii="Arial" w:eastAsia="Arial" w:hAnsi="Arial" w:cs="Arial"/>
                <w:sz w:val="22"/>
                <w:szCs w:val="22"/>
              </w:rPr>
            </w:pPr>
            <w:r>
              <w:rPr>
                <w:rFonts w:ascii="Arial" w:eastAsia="Arial" w:hAnsi="Arial" w:cs="Arial"/>
                <w:sz w:val="22"/>
                <w:szCs w:val="22"/>
              </w:rPr>
              <w:t>Categorise the collection of research based on pre-agreed themes</w:t>
            </w:r>
          </w:p>
          <w:p w:rsidR="00054665" w:rsidRDefault="00616700">
            <w:pPr>
              <w:numPr>
                <w:ilvl w:val="0"/>
                <w:numId w:val="2"/>
              </w:numPr>
              <w:tabs>
                <w:tab w:val="left" w:pos="-720"/>
              </w:tabs>
              <w:spacing w:after="54"/>
              <w:ind w:left="0" w:hanging="2"/>
              <w:jc w:val="both"/>
              <w:rPr>
                <w:rFonts w:ascii="Arial" w:eastAsia="Arial" w:hAnsi="Arial" w:cs="Arial"/>
                <w:sz w:val="22"/>
                <w:szCs w:val="22"/>
              </w:rPr>
            </w:pPr>
            <w:r>
              <w:rPr>
                <w:rFonts w:ascii="Arial" w:eastAsia="Arial" w:hAnsi="Arial" w:cs="Arial"/>
                <w:sz w:val="22"/>
                <w:szCs w:val="22"/>
              </w:rPr>
              <w:t xml:space="preserve">Review the validity </w:t>
            </w:r>
            <w:r>
              <w:rPr>
                <w:rFonts w:ascii="Arial" w:eastAsia="Arial" w:hAnsi="Arial" w:cs="Arial"/>
                <w:sz w:val="22"/>
                <w:szCs w:val="22"/>
              </w:rPr>
              <w:t>of the research (check ethical clearances etc.)</w:t>
            </w:r>
          </w:p>
          <w:p w:rsidR="00054665" w:rsidRDefault="00616700">
            <w:pPr>
              <w:numPr>
                <w:ilvl w:val="0"/>
                <w:numId w:val="2"/>
              </w:numPr>
              <w:tabs>
                <w:tab w:val="left" w:pos="-720"/>
              </w:tabs>
              <w:spacing w:after="54"/>
              <w:ind w:left="0" w:hanging="2"/>
              <w:jc w:val="both"/>
              <w:rPr>
                <w:rFonts w:ascii="Arial" w:eastAsia="Arial" w:hAnsi="Arial" w:cs="Arial"/>
                <w:sz w:val="22"/>
                <w:szCs w:val="22"/>
              </w:rPr>
            </w:pPr>
            <w:r>
              <w:rPr>
                <w:rFonts w:ascii="Arial" w:eastAsia="Arial" w:hAnsi="Arial" w:cs="Arial"/>
                <w:sz w:val="22"/>
                <w:szCs w:val="22"/>
              </w:rPr>
              <w:t xml:space="preserve">Extract and highlight key recommendations, data and findings from the collection </w:t>
            </w:r>
          </w:p>
          <w:p w:rsidR="00054665" w:rsidRDefault="00616700">
            <w:pPr>
              <w:numPr>
                <w:ilvl w:val="0"/>
                <w:numId w:val="2"/>
              </w:numPr>
              <w:tabs>
                <w:tab w:val="left" w:pos="-720"/>
              </w:tabs>
              <w:spacing w:after="54"/>
              <w:ind w:left="0" w:hanging="2"/>
              <w:jc w:val="both"/>
              <w:rPr>
                <w:rFonts w:ascii="Arial" w:eastAsia="Arial" w:hAnsi="Arial" w:cs="Arial"/>
                <w:sz w:val="22"/>
                <w:szCs w:val="22"/>
              </w:rPr>
            </w:pPr>
            <w:r>
              <w:rPr>
                <w:rFonts w:ascii="Arial" w:eastAsia="Arial" w:hAnsi="Arial" w:cs="Arial"/>
                <w:sz w:val="22"/>
                <w:szCs w:val="22"/>
              </w:rPr>
              <w:t xml:space="preserve">Draft, edit, proofread and compile relevant sections of the booklet </w:t>
            </w:r>
          </w:p>
          <w:p w:rsidR="00054665" w:rsidRDefault="00616700">
            <w:pPr>
              <w:numPr>
                <w:ilvl w:val="0"/>
                <w:numId w:val="2"/>
              </w:numPr>
              <w:tabs>
                <w:tab w:val="left" w:pos="-720"/>
              </w:tabs>
              <w:spacing w:after="54"/>
              <w:ind w:left="0" w:hanging="2"/>
              <w:jc w:val="both"/>
              <w:rPr>
                <w:rFonts w:ascii="Arial" w:eastAsia="Arial" w:hAnsi="Arial" w:cs="Arial"/>
                <w:sz w:val="22"/>
                <w:szCs w:val="22"/>
              </w:rPr>
            </w:pPr>
            <w:r>
              <w:rPr>
                <w:rFonts w:ascii="Arial" w:eastAsia="Arial" w:hAnsi="Arial" w:cs="Arial"/>
                <w:sz w:val="22"/>
                <w:szCs w:val="22"/>
              </w:rPr>
              <w:t>Deliver a final collection of research booklet working with the UNFPA and the NSACP</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15 September</w:t>
            </w:r>
            <w:r>
              <w:rPr>
                <w:rFonts w:ascii="Arial" w:eastAsia="Arial" w:hAnsi="Arial" w:cs="Arial"/>
                <w:sz w:val="22"/>
                <w:szCs w:val="22"/>
              </w:rPr>
              <w:t>- 30 November</w:t>
            </w:r>
          </w:p>
          <w:p w:rsidR="00054665" w:rsidRDefault="00054665">
            <w:pPr>
              <w:tabs>
                <w:tab w:val="left" w:pos="-720"/>
              </w:tabs>
              <w:spacing w:before="40" w:after="54"/>
              <w:ind w:left="0" w:hanging="2"/>
              <w:rPr>
                <w:rFonts w:ascii="Arial" w:eastAsia="Arial" w:hAnsi="Arial" w:cs="Arial"/>
                <w:sz w:val="22"/>
                <w:szCs w:val="22"/>
              </w:rPr>
            </w:pP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Colombo, Sri Lanka</w:t>
            </w:r>
          </w:p>
        </w:tc>
        <w:bookmarkStart w:id="0" w:name="_GoBack"/>
        <w:bookmarkEnd w:id="0"/>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Delivery dates and how work will be delivered (</w:t>
            </w:r>
            <w:r>
              <w:rPr>
                <w:rFonts w:ascii="Arial" w:eastAsia="Arial" w:hAnsi="Arial" w:cs="Arial"/>
                <w:i/>
                <w:sz w:val="22"/>
                <w:szCs w:val="22"/>
              </w:rPr>
              <w:t>e</w:t>
            </w:r>
            <w:r>
              <w:rPr>
                <w:rFonts w:ascii="Arial" w:eastAsia="Arial" w:hAnsi="Arial" w:cs="Arial"/>
                <w:i/>
                <w:sz w:val="22"/>
                <w:szCs w:val="22"/>
              </w:rPr>
              <w:t>.g.</w:t>
            </w:r>
            <w:r>
              <w:rPr>
                <w:rFonts w:ascii="Arial" w:eastAsia="Arial" w:hAnsi="Arial" w:cs="Arial"/>
                <w:sz w:val="22"/>
                <w:szCs w:val="22"/>
              </w:rPr>
              <w:t xml:space="preserve"> electronic, hard copy etc.):</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highlight w:val="yellow"/>
              </w:rPr>
            </w:pPr>
            <w:r>
              <w:rPr>
                <w:rFonts w:ascii="Arial" w:eastAsia="Arial" w:hAnsi="Arial" w:cs="Arial"/>
                <w:sz w:val="22"/>
                <w:szCs w:val="22"/>
              </w:rPr>
              <w:t xml:space="preserve">Electronic </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xml:space="preserve">Monitoring and progress control: Progress update meetings to be held at the UNFPA/NSACP office or using virtual platforms. </w:t>
            </w: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Reporting - The consultant is required to submit monthly progress reports.</w:t>
            </w:r>
          </w:p>
          <w:p w:rsidR="00054665" w:rsidRDefault="00054665">
            <w:pPr>
              <w:tabs>
                <w:tab w:val="left" w:pos="-720"/>
              </w:tabs>
              <w:spacing w:before="40" w:after="54"/>
              <w:ind w:left="0" w:hanging="2"/>
              <w:rPr>
                <w:rFonts w:ascii="Arial" w:eastAsia="Arial" w:hAnsi="Arial" w:cs="Arial"/>
                <w:sz w:val="22"/>
                <w:szCs w:val="22"/>
              </w:rPr>
            </w:pP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Payment - payment of fees will be based on the delivery of outputs as follows:</w:t>
            </w: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30% upon inception report</w:t>
            </w: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30% upon first draft</w:t>
            </w: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xml:space="preserve">● 40% upon final draft </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The consultant will be managed by the UNFPA country office. The consultant</w:t>
            </w:r>
            <w:r>
              <w:rPr>
                <w:rFonts w:ascii="Arial" w:eastAsia="Arial" w:hAnsi="Arial" w:cs="Arial"/>
                <w:sz w:val="22"/>
                <w:szCs w:val="22"/>
              </w:rPr>
              <w:t xml:space="preserve"> will report progress, issues and challenges to the Programme Analyst - Sexual and Reproductive Health. The UNFPA Assistant Representative will have oversight.</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Expected travel:</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N/A</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Required expertise, qualifications and competencies, including language r</w:t>
            </w:r>
            <w:r>
              <w:rPr>
                <w:rFonts w:ascii="Arial" w:eastAsia="Arial" w:hAnsi="Arial" w:cs="Arial"/>
                <w:sz w:val="22"/>
                <w:szCs w:val="22"/>
              </w:rPr>
              <w:t>equirements:</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r>
              <w:rPr>
                <w:rFonts w:ascii="Arial" w:eastAsia="Arial" w:hAnsi="Arial" w:cs="Arial"/>
                <w:b/>
                <w:sz w:val="22"/>
                <w:szCs w:val="22"/>
              </w:rPr>
              <w:t>Academic/professional Qualification:</w:t>
            </w:r>
          </w:p>
          <w:p w:rsidR="00054665" w:rsidRDefault="00616700">
            <w:pPr>
              <w:widowControl w:val="0"/>
              <w:numPr>
                <w:ilvl w:val="0"/>
                <w:numId w:val="3"/>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proofErr w:type="spellStart"/>
            <w:r>
              <w:rPr>
                <w:rFonts w:ascii="Arial" w:eastAsia="Arial" w:hAnsi="Arial" w:cs="Arial"/>
                <w:sz w:val="22"/>
                <w:szCs w:val="22"/>
              </w:rPr>
              <w:t>Masters</w:t>
            </w:r>
            <w:proofErr w:type="spellEnd"/>
            <w:r>
              <w:rPr>
                <w:rFonts w:ascii="Arial" w:eastAsia="Arial" w:hAnsi="Arial" w:cs="Arial"/>
                <w:sz w:val="22"/>
                <w:szCs w:val="22"/>
              </w:rPr>
              <w:t xml:space="preserve"> degree in Social Science or related field </w:t>
            </w:r>
          </w:p>
          <w:p w:rsidR="00054665" w:rsidRDefault="00616700">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r>
              <w:rPr>
                <w:rFonts w:ascii="Arial" w:eastAsia="Arial" w:hAnsi="Arial" w:cs="Arial"/>
                <w:b/>
                <w:sz w:val="22"/>
                <w:szCs w:val="22"/>
              </w:rPr>
              <w:t>Experience:</w:t>
            </w:r>
          </w:p>
          <w:p w:rsidR="00054665" w:rsidRDefault="00616700">
            <w:pPr>
              <w:widowControl w:val="0"/>
              <w:numPr>
                <w:ilvl w:val="0"/>
                <w:numId w:val="4"/>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 xml:space="preserve">5 to 7 years of </w:t>
            </w:r>
            <w:proofErr w:type="gramStart"/>
            <w:r>
              <w:rPr>
                <w:rFonts w:ascii="Arial" w:eastAsia="Arial" w:hAnsi="Arial" w:cs="Arial"/>
                <w:sz w:val="22"/>
                <w:szCs w:val="22"/>
              </w:rPr>
              <w:t>experience  handling</w:t>
            </w:r>
            <w:proofErr w:type="gramEnd"/>
            <w:r>
              <w:rPr>
                <w:rFonts w:ascii="Arial" w:eastAsia="Arial" w:hAnsi="Arial" w:cs="Arial"/>
                <w:sz w:val="22"/>
                <w:szCs w:val="22"/>
              </w:rPr>
              <w:t xml:space="preserve"> national level surveys/studies.</w:t>
            </w:r>
          </w:p>
          <w:p w:rsidR="00054665" w:rsidRDefault="00616700">
            <w:pPr>
              <w:widowControl w:val="0"/>
              <w:numPr>
                <w:ilvl w:val="0"/>
                <w:numId w:val="4"/>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 xml:space="preserve">Experience in Public Health, Law or Research </w:t>
            </w:r>
          </w:p>
          <w:p w:rsidR="00054665" w:rsidRDefault="00616700">
            <w:pPr>
              <w:widowControl w:val="0"/>
              <w:numPr>
                <w:ilvl w:val="0"/>
                <w:numId w:val="4"/>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Prior experience in the field of HIV or SRH is </w:t>
            </w:r>
            <w:proofErr w:type="spellStart"/>
            <w:r>
              <w:rPr>
                <w:rFonts w:ascii="Arial" w:eastAsia="Arial" w:hAnsi="Arial" w:cs="Arial"/>
                <w:sz w:val="22"/>
                <w:szCs w:val="22"/>
              </w:rPr>
              <w:t>preferrable</w:t>
            </w:r>
            <w:proofErr w:type="spellEnd"/>
          </w:p>
          <w:p w:rsidR="00054665" w:rsidRDefault="00616700">
            <w:pPr>
              <w:widowControl w:val="0"/>
              <w:numPr>
                <w:ilvl w:val="0"/>
                <w:numId w:val="4"/>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Prior experience in working with UN agencies is an asset.</w:t>
            </w:r>
          </w:p>
          <w:p w:rsidR="00054665" w:rsidRDefault="00054665">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p>
          <w:p w:rsidR="00054665" w:rsidRDefault="00616700">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r>
              <w:rPr>
                <w:rFonts w:ascii="Arial" w:eastAsia="Arial" w:hAnsi="Arial" w:cs="Arial"/>
                <w:b/>
                <w:sz w:val="22"/>
                <w:szCs w:val="22"/>
              </w:rPr>
              <w:t>Required Competencies:</w:t>
            </w:r>
          </w:p>
          <w:p w:rsidR="00054665" w:rsidRDefault="00616700">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r>
              <w:rPr>
                <w:rFonts w:ascii="Arial" w:eastAsia="Arial" w:hAnsi="Arial" w:cs="Arial"/>
                <w:b/>
                <w:sz w:val="22"/>
                <w:szCs w:val="22"/>
              </w:rPr>
              <w:t>Values:</w:t>
            </w:r>
          </w:p>
          <w:p w:rsidR="00054665" w:rsidRDefault="00616700">
            <w:pPr>
              <w:widowControl w:val="0"/>
              <w:numPr>
                <w:ilvl w:val="0"/>
                <w:numId w:val="5"/>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Exemplifying integrity</w:t>
            </w:r>
          </w:p>
          <w:p w:rsidR="00054665" w:rsidRDefault="00616700">
            <w:pPr>
              <w:widowControl w:val="0"/>
              <w:numPr>
                <w:ilvl w:val="0"/>
                <w:numId w:val="5"/>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Demonstrating commitment to UNFPA and the UN system</w:t>
            </w:r>
          </w:p>
          <w:p w:rsidR="00054665" w:rsidRDefault="00616700">
            <w:pPr>
              <w:widowControl w:val="0"/>
              <w:numPr>
                <w:ilvl w:val="0"/>
                <w:numId w:val="5"/>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Embracing cultural diversity</w:t>
            </w:r>
          </w:p>
          <w:p w:rsidR="00054665" w:rsidRDefault="00616700">
            <w:pPr>
              <w:widowControl w:val="0"/>
              <w:numPr>
                <w:ilvl w:val="0"/>
                <w:numId w:val="5"/>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Embracing change</w:t>
            </w:r>
          </w:p>
          <w:p w:rsidR="00054665" w:rsidRDefault="00054665">
            <w:pPr>
              <w:widowControl w:val="0"/>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p>
          <w:p w:rsidR="00054665" w:rsidRDefault="00616700">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r>
              <w:rPr>
                <w:rFonts w:ascii="Arial" w:eastAsia="Arial" w:hAnsi="Arial" w:cs="Arial"/>
                <w:b/>
                <w:sz w:val="22"/>
                <w:szCs w:val="22"/>
              </w:rPr>
              <w:t>Core Competencies:</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Achieving results</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Being accountable</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Developing and applying professional expertise/business acumen,</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Thinking analytically and strategically</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Working in teams/managing ourselves and our relationships</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Communicating for impact</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Functional Competencies:</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Delivering results-based programme/Ability to meet the deadlines</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Good planning and organisational skills including multi-tasking and time management</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Excellent writing and communication skills in English</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Proficiency in statistical, projection software and MS Office software</w:t>
            </w:r>
          </w:p>
          <w:p w:rsidR="00054665" w:rsidRDefault="00616700">
            <w:pPr>
              <w:widowControl w:val="0"/>
              <w:numPr>
                <w:ilvl w:val="0"/>
                <w:numId w:val="1"/>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Excellent analytical and report writing skills</w:t>
            </w:r>
          </w:p>
          <w:p w:rsidR="00054665" w:rsidRDefault="00054665">
            <w:pPr>
              <w:widowControl w:val="0"/>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p>
          <w:p w:rsidR="00054665" w:rsidRDefault="00616700">
            <w:pPr>
              <w:widowControl w:val="0"/>
              <w:pBdr>
                <w:top w:val="nil"/>
                <w:left w:val="nil"/>
                <w:bottom w:val="nil"/>
                <w:right w:val="nil"/>
                <w:between w:val="nil"/>
              </w:pBdr>
              <w:tabs>
                <w:tab w:val="left" w:pos="-1440"/>
              </w:tabs>
              <w:spacing w:line="231" w:lineRule="auto"/>
              <w:ind w:left="0" w:hanging="2"/>
              <w:jc w:val="both"/>
              <w:rPr>
                <w:rFonts w:ascii="Arial" w:eastAsia="Arial" w:hAnsi="Arial" w:cs="Arial"/>
                <w:b/>
                <w:sz w:val="22"/>
                <w:szCs w:val="22"/>
              </w:rPr>
            </w:pPr>
            <w:r>
              <w:rPr>
                <w:rFonts w:ascii="Arial" w:eastAsia="Arial" w:hAnsi="Arial" w:cs="Arial"/>
                <w:b/>
                <w:sz w:val="22"/>
                <w:szCs w:val="22"/>
              </w:rPr>
              <w:t>Language:</w:t>
            </w:r>
          </w:p>
          <w:p w:rsidR="00054665" w:rsidRDefault="00616700">
            <w:pPr>
              <w:widowControl w:val="0"/>
              <w:numPr>
                <w:ilvl w:val="0"/>
                <w:numId w:val="6"/>
              </w:numPr>
              <w:pBdr>
                <w:top w:val="nil"/>
                <w:left w:val="nil"/>
                <w:bottom w:val="nil"/>
                <w:right w:val="nil"/>
                <w:between w:val="nil"/>
              </w:pBdr>
              <w:tabs>
                <w:tab w:val="left" w:pos="-1440"/>
              </w:tabs>
              <w:spacing w:line="231" w:lineRule="auto"/>
              <w:ind w:left="0" w:hanging="2"/>
              <w:jc w:val="both"/>
              <w:rPr>
                <w:rFonts w:ascii="Arial" w:eastAsia="Arial" w:hAnsi="Arial" w:cs="Arial"/>
                <w:sz w:val="22"/>
                <w:szCs w:val="22"/>
              </w:rPr>
            </w:pPr>
            <w:r>
              <w:rPr>
                <w:rFonts w:ascii="Arial" w:eastAsia="Arial" w:hAnsi="Arial" w:cs="Arial"/>
                <w:sz w:val="22"/>
                <w:szCs w:val="22"/>
              </w:rPr>
              <w:t>Fluency in spoken and written English and Tamil and/or Sinhala</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lastRenderedPageBreak/>
              <w:t>Inputs / services to be provided by UNFPA or implementing partner (</w:t>
            </w:r>
            <w:proofErr w:type="spellStart"/>
            <w:r>
              <w:rPr>
                <w:rFonts w:ascii="Arial" w:eastAsia="Arial" w:hAnsi="Arial" w:cs="Arial"/>
                <w:sz w:val="22"/>
                <w:szCs w:val="22"/>
              </w:rPr>
              <w:t>e.g</w:t>
            </w:r>
            <w:proofErr w:type="spellEnd"/>
            <w:r>
              <w:rPr>
                <w:rFonts w:ascii="Arial" w:eastAsia="Arial" w:hAnsi="Arial" w:cs="Arial"/>
                <w:sz w:val="22"/>
                <w:szCs w:val="22"/>
              </w:rPr>
              <w:t xml:space="preserve">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xml:space="preserve">UNFPA will facilitate meetings with NSACP and NSACP will assist in facilitating meetings with other relevant stakeholders, if </w:t>
            </w:r>
            <w:r>
              <w:rPr>
                <w:rFonts w:ascii="Arial" w:eastAsia="Arial" w:hAnsi="Arial" w:cs="Arial"/>
                <w:sz w:val="22"/>
                <w:szCs w:val="22"/>
              </w:rPr>
              <w:t xml:space="preserve">applicable. </w:t>
            </w:r>
          </w:p>
          <w:p w:rsidR="00054665" w:rsidRDefault="00054665">
            <w:pPr>
              <w:tabs>
                <w:tab w:val="left" w:pos="-720"/>
              </w:tabs>
              <w:spacing w:before="40" w:after="54"/>
              <w:ind w:left="0" w:hanging="2"/>
              <w:rPr>
                <w:rFonts w:ascii="Arial" w:eastAsia="Arial" w:hAnsi="Arial" w:cs="Arial"/>
                <w:sz w:val="22"/>
                <w:szCs w:val="22"/>
              </w:rPr>
            </w:pPr>
          </w:p>
          <w:p w:rsidR="00054665" w:rsidRDefault="00616700">
            <w:pPr>
              <w:tabs>
                <w:tab w:val="left" w:pos="-720"/>
              </w:tabs>
              <w:spacing w:before="40" w:after="54"/>
              <w:ind w:left="0" w:hanging="2"/>
              <w:rPr>
                <w:rFonts w:ascii="Arial" w:eastAsia="Arial" w:hAnsi="Arial" w:cs="Arial"/>
                <w:sz w:val="22"/>
                <w:szCs w:val="22"/>
              </w:rPr>
            </w:pPr>
            <w:r>
              <w:rPr>
                <w:rFonts w:ascii="Arial" w:eastAsia="Arial" w:hAnsi="Arial" w:cs="Arial"/>
                <w:sz w:val="22"/>
                <w:szCs w:val="22"/>
              </w:rPr>
              <w:t xml:space="preserve">NSACP will provide a collection of research with the consultant to compile the research booklet. </w:t>
            </w:r>
          </w:p>
        </w:tc>
      </w:tr>
      <w:tr w:rsidR="00054665">
        <w:tc>
          <w:tcPr>
            <w:tcW w:w="2730" w:type="dxa"/>
            <w:tcBorders>
              <w:top w:val="single" w:sz="6" w:space="0" w:color="000000"/>
              <w:left w:val="single" w:sz="6" w:space="0" w:color="000000"/>
              <w:bottom w:val="single" w:sz="6" w:space="0" w:color="000000"/>
            </w:tcBorders>
          </w:tcPr>
          <w:p w:rsidR="00054665" w:rsidRDefault="00616700">
            <w:pPr>
              <w:tabs>
                <w:tab w:val="left" w:pos="-720"/>
              </w:tabs>
              <w:ind w:left="0" w:hanging="2"/>
              <w:rPr>
                <w:rFonts w:ascii="Arial" w:eastAsia="Arial" w:hAnsi="Arial" w:cs="Arial"/>
                <w:sz w:val="22"/>
                <w:szCs w:val="22"/>
              </w:rPr>
            </w:pPr>
            <w:r>
              <w:rPr>
                <w:rFonts w:ascii="Arial" w:eastAsia="Arial" w:hAnsi="Arial" w:cs="Arial"/>
                <w:sz w:val="22"/>
                <w:szCs w:val="22"/>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tcPr>
          <w:p w:rsidR="00054665" w:rsidRDefault="00616700">
            <w:pPr>
              <w:tabs>
                <w:tab w:val="left" w:pos="-720"/>
              </w:tabs>
              <w:ind w:left="0" w:hanging="2"/>
              <w:rPr>
                <w:rFonts w:ascii="Arial" w:eastAsia="Arial" w:hAnsi="Arial" w:cs="Arial"/>
                <w:sz w:val="22"/>
                <w:szCs w:val="22"/>
              </w:rPr>
            </w:pPr>
            <w:r>
              <w:rPr>
                <w:rFonts w:ascii="Arial" w:eastAsia="Arial" w:hAnsi="Arial" w:cs="Arial"/>
                <w:sz w:val="22"/>
                <w:szCs w:val="22"/>
              </w:rPr>
              <w:t xml:space="preserve">National STD &amp; AIDS Control Programme (NSACP) website - </w:t>
            </w:r>
            <w:hyperlink r:id="rId6">
              <w:r>
                <w:rPr>
                  <w:rFonts w:ascii="Arial" w:eastAsia="Arial" w:hAnsi="Arial" w:cs="Arial"/>
                  <w:color w:val="1155CC"/>
                  <w:sz w:val="22"/>
                  <w:szCs w:val="22"/>
                  <w:u w:val="single"/>
                </w:rPr>
                <w:t>http://www.aidscontrol.gov.lk/index.php?option=com_content&amp;view=featured&amp;Itemid=101&amp;lang=en</w:t>
              </w:r>
            </w:hyperlink>
          </w:p>
          <w:p w:rsidR="00054665" w:rsidRDefault="00054665">
            <w:pPr>
              <w:tabs>
                <w:tab w:val="left" w:pos="-720"/>
              </w:tabs>
              <w:ind w:left="0" w:hanging="2"/>
              <w:rPr>
                <w:rFonts w:ascii="Arial" w:eastAsia="Arial" w:hAnsi="Arial" w:cs="Arial"/>
                <w:sz w:val="22"/>
                <w:szCs w:val="22"/>
              </w:rPr>
            </w:pPr>
          </w:p>
        </w:tc>
      </w:tr>
      <w:tr w:rsidR="00054665">
        <w:tc>
          <w:tcPr>
            <w:tcW w:w="10440" w:type="dxa"/>
            <w:gridSpan w:val="2"/>
            <w:tcBorders>
              <w:top w:val="single" w:sz="4" w:space="0" w:color="000000"/>
              <w:left w:val="single" w:sz="6" w:space="0" w:color="000000"/>
              <w:bottom w:val="single" w:sz="6" w:space="0" w:color="000000"/>
              <w:right w:val="single" w:sz="6" w:space="0" w:color="000000"/>
            </w:tcBorders>
          </w:tcPr>
          <w:p w:rsidR="00054665" w:rsidRDefault="00054665">
            <w:pPr>
              <w:tabs>
                <w:tab w:val="left" w:pos="-720"/>
              </w:tabs>
              <w:ind w:left="0" w:hanging="2"/>
              <w:rPr>
                <w:rFonts w:ascii="Arial" w:eastAsia="Arial" w:hAnsi="Arial" w:cs="Arial"/>
                <w:sz w:val="22"/>
                <w:szCs w:val="22"/>
              </w:rPr>
            </w:pPr>
          </w:p>
          <w:p w:rsidR="00054665" w:rsidRDefault="00616700">
            <w:pPr>
              <w:tabs>
                <w:tab w:val="left" w:pos="-720"/>
              </w:tabs>
              <w:ind w:left="0" w:hanging="2"/>
              <w:rPr>
                <w:rFonts w:ascii="Arial" w:eastAsia="Arial" w:hAnsi="Arial" w:cs="Arial"/>
                <w:sz w:val="22"/>
                <w:szCs w:val="22"/>
              </w:rPr>
            </w:pPr>
            <w:r>
              <w:rPr>
                <w:rFonts w:ascii="Arial" w:eastAsia="Arial" w:hAnsi="Arial" w:cs="Arial"/>
                <w:sz w:val="22"/>
                <w:szCs w:val="22"/>
              </w:rPr>
              <w:t xml:space="preserve">Signature of Requesting Officer in Hiring Office: </w:t>
            </w:r>
            <w:r>
              <w:rPr>
                <w:rFonts w:ascii="Arial" w:eastAsia="Arial" w:hAnsi="Arial" w:cs="Arial"/>
                <w:sz w:val="22"/>
                <w:szCs w:val="22"/>
              </w:rPr>
              <w:t xml:space="preserve">Sarah </w:t>
            </w:r>
            <w:proofErr w:type="spellStart"/>
            <w:r>
              <w:rPr>
                <w:rFonts w:ascii="Arial" w:eastAsia="Arial" w:hAnsi="Arial" w:cs="Arial"/>
                <w:sz w:val="22"/>
                <w:szCs w:val="22"/>
              </w:rPr>
              <w:t>Soysa</w:t>
            </w:r>
            <w:proofErr w:type="spellEnd"/>
          </w:p>
          <w:p w:rsidR="00054665" w:rsidRDefault="00054665">
            <w:pPr>
              <w:tabs>
                <w:tab w:val="left" w:pos="-720"/>
              </w:tabs>
              <w:ind w:left="0" w:hanging="2"/>
              <w:rPr>
                <w:rFonts w:ascii="Arial" w:eastAsia="Arial" w:hAnsi="Arial" w:cs="Arial"/>
                <w:sz w:val="22"/>
                <w:szCs w:val="22"/>
              </w:rPr>
            </w:pPr>
          </w:p>
          <w:p w:rsidR="00054665" w:rsidRDefault="00616700">
            <w:pPr>
              <w:tabs>
                <w:tab w:val="left" w:pos="-720"/>
              </w:tabs>
              <w:ind w:left="0" w:hanging="2"/>
              <w:rPr>
                <w:rFonts w:ascii="Arial" w:eastAsia="Arial" w:hAnsi="Arial" w:cs="Arial"/>
                <w:sz w:val="22"/>
                <w:szCs w:val="22"/>
                <w:highlight w:val="yellow"/>
              </w:rPr>
            </w:pPr>
            <w:r>
              <w:rPr>
                <w:rFonts w:ascii="Arial" w:eastAsia="Arial" w:hAnsi="Arial" w:cs="Arial"/>
                <w:sz w:val="22"/>
                <w:szCs w:val="22"/>
              </w:rPr>
              <w:t xml:space="preserve">Date: </w:t>
            </w:r>
          </w:p>
        </w:tc>
      </w:tr>
    </w:tbl>
    <w:p w:rsidR="00054665" w:rsidRDefault="00054665">
      <w:pPr>
        <w:ind w:left="0" w:hanging="2"/>
        <w:rPr>
          <w:sz w:val="22"/>
          <w:szCs w:val="22"/>
        </w:rPr>
      </w:pPr>
    </w:p>
    <w:sectPr w:rsidR="00054665">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25"/>
    <w:multiLevelType w:val="multilevel"/>
    <w:tmpl w:val="2E6EB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E1392"/>
    <w:multiLevelType w:val="multilevel"/>
    <w:tmpl w:val="FFD05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F680D"/>
    <w:multiLevelType w:val="multilevel"/>
    <w:tmpl w:val="F722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64376F"/>
    <w:multiLevelType w:val="multilevel"/>
    <w:tmpl w:val="A3A80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D215CE"/>
    <w:multiLevelType w:val="multilevel"/>
    <w:tmpl w:val="610C9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965498"/>
    <w:multiLevelType w:val="multilevel"/>
    <w:tmpl w:val="3DB258FE"/>
    <w:lvl w:ilvl="0">
      <w:start w:val="1"/>
      <w:numFmt w:val="bullet"/>
      <w:lvlText w:val="●"/>
      <w:lvlJc w:val="left"/>
      <w:pPr>
        <w:ind w:left="45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56486D"/>
    <w:multiLevelType w:val="multilevel"/>
    <w:tmpl w:val="854C3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65"/>
    <w:rsid w:val="00054665"/>
    <w:rsid w:val="0061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5E8F"/>
  <w15:docId w15:val="{49CF37AF-46A5-40C3-9A36-9736452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ListParagraph">
    <w:name w:val="List Paragraph"/>
    <w:basedOn w:val="Normal"/>
    <w:pPr>
      <w:ind w:left="720"/>
    </w:pPr>
    <w:rPr>
      <w:lang w:val="en-US"/>
    </w:rPr>
  </w:style>
  <w:style w:type="paragraph" w:customStyle="1" w:styleId="a">
    <w:name w:val="_"/>
    <w:basedOn w:val="Normal"/>
    <w:pPr>
      <w:widowControl w:val="0"/>
      <w:autoSpaceDE w:val="0"/>
      <w:autoSpaceDN w:val="0"/>
      <w:adjustRightInd w:val="0"/>
      <w:ind w:left="720" w:hanging="720"/>
    </w:pPr>
    <w:rPr>
      <w:sz w:val="20"/>
      <w:lang w:val="en-US"/>
    </w:rPr>
  </w:style>
  <w:style w:type="paragraph" w:customStyle="1" w:styleId="Body">
    <w:name w:val="Body"/>
    <w:pPr>
      <w:pBdr>
        <w:top w:val="nil"/>
        <w:left w:val="nil"/>
        <w:bottom w:val="nil"/>
        <w:right w:val="nil"/>
        <w:between w:val="nil"/>
        <w:bar w:val="nil"/>
      </w:pBdr>
      <w:suppressAutoHyphens/>
      <w:spacing w:after="160" w:line="259" w:lineRule="auto"/>
      <w:ind w:leftChars="-1" w:left="-1" w:hangingChars="1" w:hanging="1"/>
      <w:textDirection w:val="btLr"/>
      <w:textAlignment w:val="top"/>
      <w:outlineLvl w:val="0"/>
    </w:pPr>
    <w:rPr>
      <w:rFonts w:ascii="Calibri" w:eastAsia="Calibri" w:hAnsi="Calibri" w:cs="Calibri"/>
      <w:color w:val="000000"/>
      <w:position w:val="-1"/>
      <w:sz w:val="22"/>
      <w:szCs w:val="22"/>
      <w:bdr w:val="nil"/>
      <w:lang w:val="en-US"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77" w:type="dxa"/>
        <w:right w:w="177" w:type="dxa"/>
      </w:tblCellMar>
    </w:tblPr>
  </w:style>
  <w:style w:type="table" w:customStyle="1" w:styleId="a1">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dscontrol.gov.lk/index.php?option=com_content&amp;view=featured&amp;Itemid=101&amp;lan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UZJ40IDTf/gi7XPmbH0qN35qg==">AMUW2mXqPe1C1ZjXeVgt0b76w3Cf3JJYxEtp2zPVyp6LZyJ95ej9+zU+8OcoB1hinvXlgxnw9lkfJKzGVQ0mwAOh4mXi7BRlQNzSyk8EZ2p58yLdDOfxmzY=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UNFPA STAFF</cp:lastModifiedBy>
  <cp:revision>2</cp:revision>
  <dcterms:created xsi:type="dcterms:W3CDTF">2021-04-05T06:16:00Z</dcterms:created>
  <dcterms:modified xsi:type="dcterms:W3CDTF">2022-08-31T08:45:00Z</dcterms:modified>
</cp:coreProperties>
</file>