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ADEC" w14:textId="77777777" w:rsidR="00CD7BF0" w:rsidRDefault="00000000">
      <w:pPr>
        <w:spacing w:after="258"/>
        <w:ind w:left="0" w:hanging="2"/>
        <w:jc w:val="center"/>
        <w:rPr>
          <w:sz w:val="20"/>
          <w:szCs w:val="20"/>
        </w:rPr>
      </w:pPr>
      <w:r>
        <w:rPr>
          <w:b/>
          <w:color w:val="000000"/>
          <w:sz w:val="20"/>
          <w:szCs w:val="20"/>
        </w:rPr>
        <w:t xml:space="preserve">TERMS OF REFERENCE FOR </w:t>
      </w:r>
      <w:r>
        <w:rPr>
          <w:b/>
          <w:sz w:val="20"/>
          <w:szCs w:val="20"/>
        </w:rPr>
        <w:t>SOCIAL POLICY OFFICER</w:t>
      </w:r>
    </w:p>
    <w:p w14:paraId="41901166" w14:textId="77777777" w:rsidR="00CD7BF0" w:rsidRDefault="00000000">
      <w:pPr>
        <w:ind w:left="0" w:hanging="2"/>
        <w:jc w:val="center"/>
        <w:rPr>
          <w:sz w:val="20"/>
          <w:szCs w:val="20"/>
        </w:rPr>
      </w:pPr>
      <w:r>
        <w:rPr>
          <w:sz w:val="20"/>
          <w:szCs w:val="20"/>
        </w:rPr>
        <w:t> </w:t>
      </w:r>
    </w:p>
    <w:tbl>
      <w:tblPr>
        <w:tblStyle w:val="a6"/>
        <w:tblW w:w="9344" w:type="dxa"/>
        <w:tblLayout w:type="fixed"/>
        <w:tblLook w:val="0400" w:firstRow="0" w:lastRow="0" w:firstColumn="0" w:lastColumn="0" w:noHBand="0" w:noVBand="1"/>
      </w:tblPr>
      <w:tblGrid>
        <w:gridCol w:w="2962"/>
        <w:gridCol w:w="6382"/>
      </w:tblGrid>
      <w:tr w:rsidR="00CD7BF0" w14:paraId="25E1A417" w14:textId="77777777">
        <w:trPr>
          <w:trHeight w:val="408"/>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E6E6E6"/>
            <w:tcMar>
              <w:top w:w="55" w:type="dxa"/>
              <w:left w:w="173" w:type="dxa"/>
              <w:bottom w:w="0" w:type="dxa"/>
              <w:right w:w="144" w:type="dxa"/>
            </w:tcMar>
          </w:tcPr>
          <w:p w14:paraId="4EF847A7" w14:textId="77777777" w:rsidR="00CD7BF0" w:rsidRDefault="00000000">
            <w:pPr>
              <w:ind w:left="0" w:hanging="2"/>
              <w:rPr>
                <w:sz w:val="20"/>
                <w:szCs w:val="20"/>
              </w:rPr>
            </w:pPr>
            <w:r>
              <w:rPr>
                <w:b/>
                <w:sz w:val="20"/>
                <w:szCs w:val="20"/>
              </w:rPr>
              <w:t>TERMS OF REFERENCE  - SOCIAL POLICY  OFFICER</w:t>
            </w:r>
          </w:p>
        </w:tc>
      </w:tr>
      <w:tr w:rsidR="00CD7BF0" w14:paraId="0F362112" w14:textId="77777777">
        <w:trPr>
          <w:trHeight w:val="343"/>
        </w:trPr>
        <w:tc>
          <w:tcPr>
            <w:tcW w:w="296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5C60D8B3" w14:textId="77777777" w:rsidR="00CD7BF0" w:rsidRDefault="00000000">
            <w:pPr>
              <w:ind w:left="0" w:hanging="2"/>
              <w:rPr>
                <w:sz w:val="20"/>
                <w:szCs w:val="20"/>
              </w:rPr>
            </w:pPr>
            <w:r>
              <w:rPr>
                <w:sz w:val="20"/>
                <w:szCs w:val="20"/>
              </w:rPr>
              <w:t>Hiring Office: </w:t>
            </w:r>
          </w:p>
        </w:tc>
        <w:tc>
          <w:tcPr>
            <w:tcW w:w="638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0A663CC6" w14:textId="77777777" w:rsidR="00CD7BF0" w:rsidRDefault="00000000">
            <w:pPr>
              <w:ind w:left="0" w:hanging="2"/>
              <w:rPr>
                <w:sz w:val="20"/>
                <w:szCs w:val="20"/>
              </w:rPr>
            </w:pPr>
            <w:r>
              <w:rPr>
                <w:sz w:val="20"/>
                <w:szCs w:val="20"/>
              </w:rPr>
              <w:t>UNFPA, Sri Lanka </w:t>
            </w:r>
          </w:p>
        </w:tc>
      </w:tr>
      <w:tr w:rsidR="00CD7BF0" w14:paraId="36539D8D" w14:textId="77777777">
        <w:trPr>
          <w:trHeight w:val="2310"/>
        </w:trPr>
        <w:tc>
          <w:tcPr>
            <w:tcW w:w="296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2A9F584D" w14:textId="77777777" w:rsidR="00CD7BF0" w:rsidRDefault="00000000">
            <w:pPr>
              <w:ind w:left="0" w:hanging="2"/>
              <w:rPr>
                <w:sz w:val="20"/>
                <w:szCs w:val="20"/>
              </w:rPr>
            </w:pPr>
            <w:r>
              <w:rPr>
                <w:sz w:val="20"/>
                <w:szCs w:val="20"/>
              </w:rPr>
              <w:t>Purpose of consultancy: </w:t>
            </w:r>
          </w:p>
        </w:tc>
        <w:tc>
          <w:tcPr>
            <w:tcW w:w="638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3E0B549E" w14:textId="77777777" w:rsidR="00CD7BF0" w:rsidRDefault="00000000">
            <w:pPr>
              <w:spacing w:after="52"/>
              <w:ind w:left="0" w:right="3" w:hanging="2"/>
              <w:rPr>
                <w:sz w:val="20"/>
                <w:szCs w:val="20"/>
              </w:rPr>
            </w:pPr>
            <w:r>
              <w:rPr>
                <w:sz w:val="20"/>
                <w:szCs w:val="20"/>
              </w:rPr>
              <w:t>The United Nations Population Fund (UNFPA) is the leading UN agency for delivering a world where every pregnancy is wanted, every childbirth is safe, and every young person's potential is fulfilled. UNFPA works in partnership with governments, civil society, and other key stakeholders to promote reproductive health, gender equality, and the rights and well-being of young people.</w:t>
            </w:r>
          </w:p>
          <w:p w14:paraId="53BA18A6" w14:textId="77777777" w:rsidR="00CD7BF0" w:rsidRDefault="00CD7BF0">
            <w:pPr>
              <w:spacing w:after="52"/>
              <w:ind w:left="0" w:right="3" w:hanging="2"/>
              <w:rPr>
                <w:sz w:val="20"/>
                <w:szCs w:val="20"/>
              </w:rPr>
            </w:pPr>
          </w:p>
          <w:p w14:paraId="25507DAF" w14:textId="77777777" w:rsidR="00CD7BF0" w:rsidRDefault="00000000">
            <w:pPr>
              <w:spacing w:after="52"/>
              <w:ind w:left="0" w:right="3" w:hanging="2"/>
              <w:rPr>
                <w:sz w:val="20"/>
                <w:szCs w:val="20"/>
              </w:rPr>
            </w:pPr>
            <w:r>
              <w:rPr>
                <w:sz w:val="20"/>
                <w:szCs w:val="20"/>
              </w:rPr>
              <w:t xml:space="preserve">The United Nations Population Fund (UNFPA) plays a crucial role in shaping social policy, focusing on gender equality, reproductive health, and population dynamics. In the context of Sri Lanka, UNFPA's efforts include advocating for policies that support reproductive rights, providing data for informed decision-making, and offering technical assistance in health systems, particularly for maternal health. UNFPA emphasizes integrating population trends into national planning and actively promote gender equality and youth engagement. Additionally, in response to emergencies, UNFPA focuses on protecting the health and rights of vulnerable populations, especially women and girls. UNFPA’s work in Sri Lanka is instrumental in driving progress towards Sustainable Development Goals by collaborating with the government, NGOs, and other partners. </w:t>
            </w:r>
          </w:p>
          <w:p w14:paraId="1BF27333" w14:textId="77777777" w:rsidR="00CD7BF0" w:rsidRDefault="00CD7BF0">
            <w:pPr>
              <w:spacing w:after="52"/>
              <w:ind w:left="0" w:right="3" w:hanging="2"/>
              <w:rPr>
                <w:sz w:val="20"/>
                <w:szCs w:val="20"/>
              </w:rPr>
            </w:pPr>
          </w:p>
          <w:p w14:paraId="3F3A3016" w14:textId="77777777" w:rsidR="00CD7BF0" w:rsidRDefault="00000000">
            <w:pPr>
              <w:spacing w:after="52"/>
              <w:ind w:left="0" w:right="3" w:hanging="2"/>
              <w:rPr>
                <w:sz w:val="20"/>
                <w:szCs w:val="20"/>
              </w:rPr>
            </w:pPr>
            <w:r>
              <w:rPr>
                <w:sz w:val="20"/>
                <w:szCs w:val="20"/>
              </w:rPr>
              <w:t xml:space="preserve">Under the guidance of the Assistant Representative, the SOCIAL POLICY OFFICER will contribute to shaping and advocating for evidence-based policies related to population change, reproductive health, and gender equality in the context of the evolving social, economic and political landscape of the country.  </w:t>
            </w:r>
          </w:p>
        </w:tc>
      </w:tr>
      <w:tr w:rsidR="00CD7BF0" w14:paraId="480AEC26" w14:textId="77777777">
        <w:trPr>
          <w:trHeight w:val="3001"/>
        </w:trPr>
        <w:tc>
          <w:tcPr>
            <w:tcW w:w="296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40CFF0BB" w14:textId="77777777" w:rsidR="00CD7BF0" w:rsidRDefault="00000000">
            <w:pPr>
              <w:spacing w:after="38"/>
              <w:ind w:left="0" w:hanging="2"/>
              <w:rPr>
                <w:sz w:val="20"/>
                <w:szCs w:val="20"/>
              </w:rPr>
            </w:pPr>
            <w:r>
              <w:rPr>
                <w:sz w:val="20"/>
                <w:szCs w:val="20"/>
              </w:rPr>
              <w:t>Scope of work: </w:t>
            </w:r>
          </w:p>
          <w:p w14:paraId="04530CDB" w14:textId="77777777" w:rsidR="00CD7BF0" w:rsidRDefault="00000000">
            <w:pPr>
              <w:spacing w:after="41"/>
              <w:ind w:left="0" w:hanging="2"/>
              <w:rPr>
                <w:sz w:val="20"/>
                <w:szCs w:val="20"/>
              </w:rPr>
            </w:pPr>
            <w:r>
              <w:rPr>
                <w:sz w:val="20"/>
                <w:szCs w:val="20"/>
              </w:rPr>
              <w:t> </w:t>
            </w:r>
          </w:p>
          <w:p w14:paraId="0120D5A6" w14:textId="77777777" w:rsidR="00CD7BF0" w:rsidRDefault="00000000">
            <w:pPr>
              <w:ind w:left="0" w:hanging="2"/>
              <w:rPr>
                <w:sz w:val="20"/>
                <w:szCs w:val="20"/>
              </w:rPr>
            </w:pPr>
            <w:r>
              <w:rPr>
                <w:i/>
                <w:sz w:val="20"/>
                <w:szCs w:val="20"/>
              </w:rPr>
              <w:t>(Description of services, activities, or outputs)</w:t>
            </w:r>
            <w:r>
              <w:rPr>
                <w:sz w:val="20"/>
                <w:szCs w:val="20"/>
              </w:rPr>
              <w:t> </w:t>
            </w:r>
          </w:p>
        </w:tc>
        <w:tc>
          <w:tcPr>
            <w:tcW w:w="638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63B0FB99" w14:textId="77777777" w:rsidR="00CD7BF0" w:rsidRDefault="00000000">
            <w:pPr>
              <w:ind w:left="0" w:hanging="2"/>
              <w:rPr>
                <w:sz w:val="20"/>
                <w:szCs w:val="20"/>
              </w:rPr>
            </w:pPr>
            <w:r>
              <w:rPr>
                <w:sz w:val="20"/>
                <w:szCs w:val="20"/>
              </w:rPr>
              <w:t>The consultant will undertake the following tasks:</w:t>
            </w:r>
          </w:p>
          <w:p w14:paraId="17B10290" w14:textId="77777777" w:rsidR="00CD7BF0" w:rsidRDefault="00CD7BF0">
            <w:pPr>
              <w:ind w:left="0" w:hanging="2"/>
              <w:rPr>
                <w:sz w:val="20"/>
                <w:szCs w:val="20"/>
              </w:rPr>
            </w:pPr>
          </w:p>
          <w:p w14:paraId="7CBC156B" w14:textId="77777777" w:rsidR="00CD7BF0" w:rsidRDefault="00000000">
            <w:pPr>
              <w:ind w:left="0" w:hanging="2"/>
              <w:rPr>
                <w:sz w:val="20"/>
                <w:szCs w:val="20"/>
              </w:rPr>
            </w:pPr>
            <w:r>
              <w:rPr>
                <w:sz w:val="20"/>
                <w:szCs w:val="20"/>
              </w:rPr>
              <w:t>Political, social and economic scanning:</w:t>
            </w:r>
          </w:p>
          <w:p w14:paraId="568E922C" w14:textId="77777777" w:rsidR="00CD7BF0" w:rsidRDefault="00000000">
            <w:pPr>
              <w:numPr>
                <w:ilvl w:val="0"/>
                <w:numId w:val="1"/>
              </w:numPr>
              <w:ind w:left="0" w:hanging="2"/>
              <w:rPr>
                <w:sz w:val="20"/>
                <w:szCs w:val="20"/>
              </w:rPr>
            </w:pPr>
            <w:r>
              <w:rPr>
                <w:sz w:val="20"/>
                <w:szCs w:val="20"/>
              </w:rPr>
              <w:t xml:space="preserve">Compile and </w:t>
            </w:r>
            <w:proofErr w:type="spellStart"/>
            <w:r>
              <w:rPr>
                <w:sz w:val="20"/>
                <w:szCs w:val="20"/>
              </w:rPr>
              <w:t>analyze</w:t>
            </w:r>
            <w:proofErr w:type="spellEnd"/>
            <w:r>
              <w:rPr>
                <w:sz w:val="20"/>
                <w:szCs w:val="20"/>
              </w:rPr>
              <w:t xml:space="preserve"> information on the political, social and economic environment relevant to the implementation of the ICPD Programme of Action in Sri Lanka.</w:t>
            </w:r>
          </w:p>
          <w:p w14:paraId="368A75D4" w14:textId="77777777" w:rsidR="00CD7BF0" w:rsidRDefault="00000000">
            <w:pPr>
              <w:numPr>
                <w:ilvl w:val="0"/>
                <w:numId w:val="1"/>
              </w:numPr>
              <w:ind w:left="0" w:hanging="2"/>
              <w:rPr>
                <w:sz w:val="20"/>
                <w:szCs w:val="20"/>
              </w:rPr>
            </w:pPr>
            <w:r>
              <w:rPr>
                <w:sz w:val="20"/>
                <w:szCs w:val="20"/>
              </w:rPr>
              <w:t>Monitor and provide regular updates on political and policy environmental scanning.</w:t>
            </w:r>
          </w:p>
          <w:p w14:paraId="78D729AB" w14:textId="77777777" w:rsidR="00CD7BF0" w:rsidRDefault="00CD7BF0">
            <w:pPr>
              <w:ind w:left="0" w:hanging="2"/>
              <w:rPr>
                <w:sz w:val="20"/>
                <w:szCs w:val="20"/>
              </w:rPr>
            </w:pPr>
          </w:p>
          <w:p w14:paraId="71667549" w14:textId="77777777" w:rsidR="00CD7BF0" w:rsidRDefault="00000000">
            <w:pPr>
              <w:ind w:left="0" w:hanging="2"/>
              <w:rPr>
                <w:sz w:val="20"/>
                <w:szCs w:val="20"/>
              </w:rPr>
            </w:pPr>
            <w:r>
              <w:rPr>
                <w:sz w:val="20"/>
                <w:szCs w:val="20"/>
              </w:rPr>
              <w:t>Policy analysis and advocacy:</w:t>
            </w:r>
          </w:p>
          <w:p w14:paraId="02AE6E94" w14:textId="77777777" w:rsidR="00CD7BF0" w:rsidRDefault="00000000">
            <w:pPr>
              <w:numPr>
                <w:ilvl w:val="0"/>
                <w:numId w:val="1"/>
              </w:numPr>
              <w:ind w:left="0" w:hanging="2"/>
              <w:rPr>
                <w:sz w:val="20"/>
                <w:szCs w:val="20"/>
              </w:rPr>
            </w:pPr>
            <w:r>
              <w:rPr>
                <w:sz w:val="20"/>
                <w:szCs w:val="20"/>
              </w:rPr>
              <w:t>Assess the implications of new policy developments and strategies on the implementation of the ICPD Programme of Action.</w:t>
            </w:r>
          </w:p>
          <w:p w14:paraId="78D4DD62" w14:textId="77777777" w:rsidR="00CD7BF0" w:rsidRDefault="00000000">
            <w:pPr>
              <w:numPr>
                <w:ilvl w:val="0"/>
                <w:numId w:val="1"/>
              </w:numPr>
              <w:ind w:left="0" w:hanging="2"/>
              <w:rPr>
                <w:sz w:val="20"/>
                <w:szCs w:val="20"/>
              </w:rPr>
            </w:pPr>
            <w:proofErr w:type="spellStart"/>
            <w:r>
              <w:rPr>
                <w:sz w:val="20"/>
                <w:szCs w:val="20"/>
              </w:rPr>
              <w:t>Analyze</w:t>
            </w:r>
            <w:proofErr w:type="spellEnd"/>
            <w:r>
              <w:rPr>
                <w:sz w:val="20"/>
                <w:szCs w:val="20"/>
              </w:rPr>
              <w:t xml:space="preserve"> existing policies, strategy documents, and national development plans and prepare briefs for policy discussions with stakeholders.</w:t>
            </w:r>
          </w:p>
          <w:p w14:paraId="193DEC98" w14:textId="77777777" w:rsidR="00CD7BF0" w:rsidRDefault="00000000">
            <w:pPr>
              <w:numPr>
                <w:ilvl w:val="0"/>
                <w:numId w:val="1"/>
              </w:numPr>
              <w:ind w:left="0" w:hanging="2"/>
              <w:rPr>
                <w:sz w:val="20"/>
                <w:szCs w:val="20"/>
              </w:rPr>
            </w:pPr>
            <w:r>
              <w:rPr>
                <w:sz w:val="20"/>
                <w:szCs w:val="20"/>
              </w:rPr>
              <w:t>Develop position papers and support developing policy briefs aligned to UNFPA Country Office and country priorities.</w:t>
            </w:r>
          </w:p>
          <w:p w14:paraId="77AA54AA" w14:textId="77777777" w:rsidR="00CD7BF0" w:rsidRDefault="00000000">
            <w:pPr>
              <w:numPr>
                <w:ilvl w:val="0"/>
                <w:numId w:val="1"/>
              </w:numPr>
              <w:ind w:left="0" w:hanging="2"/>
              <w:rPr>
                <w:sz w:val="20"/>
                <w:szCs w:val="20"/>
              </w:rPr>
            </w:pPr>
            <w:r>
              <w:rPr>
                <w:sz w:val="20"/>
                <w:szCs w:val="20"/>
              </w:rPr>
              <w:t xml:space="preserve">Support organizing policy dialogues and engagements events/sessions with parliamentarians. </w:t>
            </w:r>
          </w:p>
          <w:p w14:paraId="5C7EE89B" w14:textId="77777777" w:rsidR="00CD7BF0" w:rsidRDefault="00CD7BF0">
            <w:pPr>
              <w:ind w:left="0" w:hanging="2"/>
              <w:rPr>
                <w:sz w:val="20"/>
                <w:szCs w:val="20"/>
              </w:rPr>
            </w:pPr>
          </w:p>
          <w:p w14:paraId="0BAE5D0D" w14:textId="77777777" w:rsidR="00CD7BF0" w:rsidRDefault="00000000">
            <w:pPr>
              <w:ind w:left="0" w:hanging="2"/>
              <w:rPr>
                <w:sz w:val="20"/>
                <w:szCs w:val="20"/>
              </w:rPr>
            </w:pPr>
            <w:r>
              <w:rPr>
                <w:sz w:val="20"/>
                <w:szCs w:val="20"/>
              </w:rPr>
              <w:t>Partnership:</w:t>
            </w:r>
          </w:p>
          <w:p w14:paraId="3B346DED" w14:textId="77777777" w:rsidR="00CD7BF0" w:rsidRDefault="00000000">
            <w:pPr>
              <w:numPr>
                <w:ilvl w:val="0"/>
                <w:numId w:val="1"/>
              </w:numPr>
              <w:ind w:left="0" w:hanging="2"/>
              <w:rPr>
                <w:sz w:val="20"/>
                <w:szCs w:val="20"/>
              </w:rPr>
            </w:pPr>
            <w:r>
              <w:rPr>
                <w:sz w:val="20"/>
                <w:szCs w:val="20"/>
              </w:rPr>
              <w:t xml:space="preserve">Map existing social policy and research think tanks and advocacy networks focusing on population dynamics, sexual and reproductive health, and Gender Equality and Women’s Empowerment. </w:t>
            </w:r>
          </w:p>
          <w:p w14:paraId="6569EB65" w14:textId="77777777" w:rsidR="00CD7BF0" w:rsidRDefault="00000000">
            <w:pPr>
              <w:numPr>
                <w:ilvl w:val="0"/>
                <w:numId w:val="1"/>
              </w:numPr>
              <w:ind w:left="0" w:hanging="2"/>
              <w:rPr>
                <w:sz w:val="20"/>
                <w:szCs w:val="20"/>
              </w:rPr>
            </w:pPr>
            <w:r>
              <w:rPr>
                <w:sz w:val="20"/>
                <w:szCs w:val="20"/>
              </w:rPr>
              <w:lastRenderedPageBreak/>
              <w:t>Support the team to establish working relations with social policy and research think tanks with the ability to provide external perspectives and capacity to support decision-making.</w:t>
            </w:r>
          </w:p>
          <w:p w14:paraId="2B787AC7" w14:textId="77777777" w:rsidR="00CD7BF0" w:rsidRDefault="00CD7BF0">
            <w:pPr>
              <w:ind w:left="0" w:hanging="2"/>
              <w:rPr>
                <w:sz w:val="20"/>
                <w:szCs w:val="20"/>
              </w:rPr>
            </w:pPr>
          </w:p>
        </w:tc>
      </w:tr>
      <w:tr w:rsidR="00CD7BF0" w14:paraId="4B69919A" w14:textId="77777777">
        <w:trPr>
          <w:trHeight w:val="750"/>
        </w:trPr>
        <w:tc>
          <w:tcPr>
            <w:tcW w:w="296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66124F0F" w14:textId="77777777" w:rsidR="00CD7BF0" w:rsidRDefault="00000000">
            <w:pPr>
              <w:ind w:left="0" w:hanging="2"/>
              <w:rPr>
                <w:sz w:val="20"/>
                <w:szCs w:val="20"/>
              </w:rPr>
            </w:pPr>
            <w:r>
              <w:rPr>
                <w:sz w:val="20"/>
                <w:szCs w:val="20"/>
              </w:rPr>
              <w:lastRenderedPageBreak/>
              <w:t>Duration and working schedule: </w:t>
            </w:r>
          </w:p>
        </w:tc>
        <w:tc>
          <w:tcPr>
            <w:tcW w:w="638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676FE9CF" w14:textId="77777777" w:rsidR="00CD7BF0" w:rsidRDefault="00000000">
            <w:pPr>
              <w:ind w:left="0" w:hanging="2"/>
              <w:rPr>
                <w:sz w:val="20"/>
                <w:szCs w:val="20"/>
              </w:rPr>
            </w:pPr>
            <w:r>
              <w:rPr>
                <w:sz w:val="20"/>
                <w:szCs w:val="20"/>
              </w:rPr>
              <w:t>10 months: 01 March to 31 December 2025; Office-based 16 days a month.</w:t>
            </w:r>
          </w:p>
        </w:tc>
      </w:tr>
      <w:tr w:rsidR="00CD7BF0" w14:paraId="5F97547F" w14:textId="77777777">
        <w:trPr>
          <w:trHeight w:val="631"/>
        </w:trPr>
        <w:tc>
          <w:tcPr>
            <w:tcW w:w="296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2C038DE6" w14:textId="77777777" w:rsidR="00CD7BF0" w:rsidRDefault="00000000">
            <w:pPr>
              <w:ind w:left="0" w:hanging="2"/>
              <w:rPr>
                <w:sz w:val="20"/>
                <w:szCs w:val="20"/>
              </w:rPr>
            </w:pPr>
            <w:r>
              <w:rPr>
                <w:sz w:val="20"/>
                <w:szCs w:val="20"/>
              </w:rPr>
              <w:t>Place where services are to be delivered: </w:t>
            </w:r>
          </w:p>
        </w:tc>
        <w:tc>
          <w:tcPr>
            <w:tcW w:w="638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1F6778F0" w14:textId="77777777" w:rsidR="00CD7BF0" w:rsidRDefault="00000000">
            <w:pPr>
              <w:ind w:left="0" w:hanging="2"/>
              <w:rPr>
                <w:sz w:val="20"/>
                <w:szCs w:val="20"/>
              </w:rPr>
            </w:pPr>
            <w:r>
              <w:rPr>
                <w:sz w:val="20"/>
                <w:szCs w:val="20"/>
              </w:rPr>
              <w:t>Colombo, Sri Lanka</w:t>
            </w:r>
          </w:p>
        </w:tc>
      </w:tr>
      <w:tr w:rsidR="00CD7BF0" w14:paraId="39F7B81F" w14:textId="77777777">
        <w:trPr>
          <w:trHeight w:val="809"/>
        </w:trPr>
        <w:tc>
          <w:tcPr>
            <w:tcW w:w="296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4B9166A6" w14:textId="77777777" w:rsidR="00CD7BF0" w:rsidRDefault="00000000">
            <w:pPr>
              <w:ind w:left="0" w:hanging="2"/>
              <w:rPr>
                <w:sz w:val="20"/>
                <w:szCs w:val="20"/>
              </w:rPr>
            </w:pPr>
            <w:r>
              <w:rPr>
                <w:sz w:val="20"/>
                <w:szCs w:val="20"/>
              </w:rPr>
              <w:t>Delivery dates and how work will be delivered (</w:t>
            </w:r>
            <w:r>
              <w:rPr>
                <w:i/>
                <w:sz w:val="20"/>
                <w:szCs w:val="20"/>
              </w:rPr>
              <w:t>e.g.</w:t>
            </w:r>
            <w:r>
              <w:rPr>
                <w:sz w:val="20"/>
                <w:szCs w:val="20"/>
              </w:rPr>
              <w:t xml:space="preserve"> electronic, hard copy etc.): </w:t>
            </w:r>
          </w:p>
        </w:tc>
        <w:tc>
          <w:tcPr>
            <w:tcW w:w="638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241BD855" w14:textId="77777777" w:rsidR="00CD7BF0" w:rsidRDefault="00000000">
            <w:pPr>
              <w:ind w:left="0" w:hanging="2"/>
              <w:rPr>
                <w:sz w:val="20"/>
                <w:szCs w:val="20"/>
              </w:rPr>
            </w:pPr>
            <w:r>
              <w:rPr>
                <w:sz w:val="20"/>
                <w:szCs w:val="20"/>
              </w:rPr>
              <w:t xml:space="preserve">Delivery dates and how work will be delivered will be agreed between the consultant and UNFPA based on the work plan to be provided by the consultant within 3 days from the start date of the assignment.  </w:t>
            </w:r>
          </w:p>
          <w:p w14:paraId="5B46E92D" w14:textId="77777777" w:rsidR="00CD7BF0" w:rsidRDefault="00000000">
            <w:pPr>
              <w:ind w:left="0" w:hanging="2"/>
              <w:rPr>
                <w:sz w:val="20"/>
                <w:szCs w:val="20"/>
              </w:rPr>
            </w:pPr>
            <w:r>
              <w:rPr>
                <w:sz w:val="20"/>
                <w:szCs w:val="20"/>
              </w:rPr>
              <w:t>Outputs will be required in soft copy.</w:t>
            </w:r>
          </w:p>
          <w:p w14:paraId="4A6C5B4F" w14:textId="77777777" w:rsidR="00CD7BF0" w:rsidRDefault="00CD7BF0">
            <w:pPr>
              <w:ind w:left="0" w:hanging="2"/>
              <w:rPr>
                <w:sz w:val="20"/>
                <w:szCs w:val="20"/>
              </w:rPr>
            </w:pPr>
          </w:p>
        </w:tc>
      </w:tr>
      <w:tr w:rsidR="00CD7BF0" w14:paraId="15E2C560" w14:textId="77777777">
        <w:trPr>
          <w:trHeight w:val="1274"/>
        </w:trPr>
        <w:tc>
          <w:tcPr>
            <w:tcW w:w="296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6F5F4F9B" w14:textId="77777777" w:rsidR="00CD7BF0" w:rsidRDefault="00000000">
            <w:pPr>
              <w:ind w:left="0" w:hanging="2"/>
              <w:rPr>
                <w:sz w:val="20"/>
                <w:szCs w:val="20"/>
              </w:rPr>
            </w:pPr>
            <w:r>
              <w:rPr>
                <w:sz w:val="20"/>
                <w:szCs w:val="20"/>
              </w:rPr>
              <w:t>Monitoring and progress control, including reporting requirements, periodicity format and deadline: </w:t>
            </w:r>
          </w:p>
        </w:tc>
        <w:tc>
          <w:tcPr>
            <w:tcW w:w="638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367DDF0D" w14:textId="77777777" w:rsidR="00CD7BF0" w:rsidRDefault="00000000">
            <w:pPr>
              <w:ind w:left="0" w:hanging="2"/>
              <w:rPr>
                <w:sz w:val="20"/>
                <w:szCs w:val="20"/>
              </w:rPr>
            </w:pPr>
            <w:r>
              <w:rPr>
                <w:sz w:val="20"/>
                <w:szCs w:val="20"/>
              </w:rPr>
              <w:t>The consultant will be paid in six tranches by providing the defined products to be delivered.</w:t>
            </w:r>
          </w:p>
        </w:tc>
      </w:tr>
      <w:tr w:rsidR="00CD7BF0" w14:paraId="08E92DD7" w14:textId="77777777">
        <w:trPr>
          <w:trHeight w:val="576"/>
        </w:trPr>
        <w:tc>
          <w:tcPr>
            <w:tcW w:w="296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37BAAA93" w14:textId="77777777" w:rsidR="00CD7BF0" w:rsidRDefault="00000000">
            <w:pPr>
              <w:ind w:left="0" w:right="16" w:hanging="2"/>
              <w:rPr>
                <w:sz w:val="20"/>
                <w:szCs w:val="20"/>
              </w:rPr>
            </w:pPr>
            <w:r>
              <w:rPr>
                <w:sz w:val="20"/>
                <w:szCs w:val="20"/>
              </w:rPr>
              <w:t>Supervisory arrangements:  </w:t>
            </w:r>
          </w:p>
        </w:tc>
        <w:tc>
          <w:tcPr>
            <w:tcW w:w="638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0F2E93CF" w14:textId="77777777" w:rsidR="00CD7BF0" w:rsidRDefault="00000000">
            <w:pPr>
              <w:ind w:left="0" w:hanging="2"/>
              <w:rPr>
                <w:sz w:val="20"/>
                <w:szCs w:val="20"/>
              </w:rPr>
            </w:pPr>
            <w:r>
              <w:rPr>
                <w:sz w:val="20"/>
                <w:szCs w:val="20"/>
              </w:rPr>
              <w:t xml:space="preserve">The consultant will work under the direct guidance of the Assistant Representative and in close coordination with the Head of Programme and the National Programme Analyst for Population Data and Ageing. </w:t>
            </w:r>
          </w:p>
        </w:tc>
      </w:tr>
      <w:tr w:rsidR="00CD7BF0" w14:paraId="4A683874" w14:textId="77777777">
        <w:trPr>
          <w:trHeight w:val="631"/>
        </w:trPr>
        <w:tc>
          <w:tcPr>
            <w:tcW w:w="296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74904913" w14:textId="77777777" w:rsidR="00CD7BF0" w:rsidRDefault="00000000">
            <w:pPr>
              <w:ind w:left="0" w:hanging="2"/>
              <w:rPr>
                <w:sz w:val="20"/>
                <w:szCs w:val="20"/>
              </w:rPr>
            </w:pPr>
            <w:r>
              <w:rPr>
                <w:sz w:val="20"/>
                <w:szCs w:val="20"/>
              </w:rPr>
              <w:t>Expected travel: </w:t>
            </w:r>
          </w:p>
        </w:tc>
        <w:tc>
          <w:tcPr>
            <w:tcW w:w="638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5E50520A" w14:textId="77777777" w:rsidR="00CD7BF0" w:rsidRDefault="00000000">
            <w:pPr>
              <w:ind w:left="0" w:hanging="2"/>
              <w:rPr>
                <w:sz w:val="20"/>
                <w:szCs w:val="20"/>
              </w:rPr>
            </w:pPr>
            <w:r>
              <w:rPr>
                <w:sz w:val="20"/>
                <w:szCs w:val="20"/>
              </w:rPr>
              <w:t>No travel is expected.</w:t>
            </w:r>
          </w:p>
        </w:tc>
      </w:tr>
      <w:tr w:rsidR="00CD7BF0" w14:paraId="2B58665F" w14:textId="77777777">
        <w:trPr>
          <w:trHeight w:val="920"/>
        </w:trPr>
        <w:tc>
          <w:tcPr>
            <w:tcW w:w="296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1B4A866C" w14:textId="77777777" w:rsidR="00CD7BF0" w:rsidRDefault="00000000">
            <w:pPr>
              <w:ind w:left="0" w:hanging="2"/>
              <w:rPr>
                <w:sz w:val="20"/>
                <w:szCs w:val="20"/>
              </w:rPr>
            </w:pPr>
            <w:r>
              <w:rPr>
                <w:sz w:val="20"/>
                <w:szCs w:val="20"/>
              </w:rPr>
              <w:t>Required expertise, qualifications and competencies, including language requirements: </w:t>
            </w:r>
          </w:p>
        </w:tc>
        <w:tc>
          <w:tcPr>
            <w:tcW w:w="638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15138D44" w14:textId="77777777" w:rsidR="00CD7BF0" w:rsidRDefault="00000000">
            <w:pPr>
              <w:ind w:left="0" w:hanging="2"/>
              <w:rPr>
                <w:b/>
                <w:sz w:val="20"/>
                <w:szCs w:val="20"/>
              </w:rPr>
            </w:pPr>
            <w:r>
              <w:rPr>
                <w:b/>
                <w:sz w:val="20"/>
                <w:szCs w:val="20"/>
              </w:rPr>
              <w:t>Academic/Professional Qualification:</w:t>
            </w:r>
          </w:p>
          <w:p w14:paraId="2A1F2DBD" w14:textId="77777777" w:rsidR="00CD7BF0" w:rsidRDefault="00000000">
            <w:pPr>
              <w:numPr>
                <w:ilvl w:val="0"/>
                <w:numId w:val="2"/>
              </w:numPr>
              <w:ind w:left="0" w:hanging="2"/>
              <w:rPr>
                <w:sz w:val="20"/>
                <w:szCs w:val="20"/>
              </w:rPr>
            </w:pPr>
            <w:r>
              <w:rPr>
                <w:sz w:val="20"/>
                <w:szCs w:val="20"/>
              </w:rPr>
              <w:t>Advanced University Degree (Master’s) in Social Science, Political Science, Health Science, Gender, Law, Development or similar relevant development field is required.</w:t>
            </w:r>
          </w:p>
          <w:p w14:paraId="092A82CE" w14:textId="77777777" w:rsidR="00CD7BF0" w:rsidRDefault="00CD7BF0">
            <w:pPr>
              <w:ind w:left="0" w:hanging="2"/>
              <w:rPr>
                <w:sz w:val="20"/>
                <w:szCs w:val="20"/>
              </w:rPr>
            </w:pPr>
          </w:p>
          <w:p w14:paraId="3EE8D5D4" w14:textId="77777777" w:rsidR="00CD7BF0" w:rsidRDefault="00000000">
            <w:pPr>
              <w:ind w:left="0" w:hanging="2"/>
              <w:rPr>
                <w:b/>
                <w:sz w:val="20"/>
                <w:szCs w:val="20"/>
              </w:rPr>
            </w:pPr>
            <w:r>
              <w:rPr>
                <w:b/>
                <w:sz w:val="20"/>
                <w:szCs w:val="20"/>
              </w:rPr>
              <w:t>Experience:</w:t>
            </w:r>
          </w:p>
          <w:p w14:paraId="055FFA50" w14:textId="77777777" w:rsidR="00CD7BF0" w:rsidRDefault="00000000">
            <w:pPr>
              <w:numPr>
                <w:ilvl w:val="0"/>
                <w:numId w:val="3"/>
              </w:numPr>
              <w:ind w:left="0" w:hanging="2"/>
              <w:rPr>
                <w:sz w:val="20"/>
                <w:szCs w:val="20"/>
              </w:rPr>
            </w:pPr>
            <w:r>
              <w:rPr>
                <w:sz w:val="20"/>
                <w:szCs w:val="20"/>
              </w:rPr>
              <w:t>A minimum of 1 year relevant professional work experience in social policy, intergovernmental, inter-agency, and multilateral affairs is required.</w:t>
            </w:r>
          </w:p>
          <w:p w14:paraId="4E128FCD" w14:textId="77777777" w:rsidR="00CD7BF0" w:rsidRDefault="00000000">
            <w:pPr>
              <w:numPr>
                <w:ilvl w:val="0"/>
                <w:numId w:val="3"/>
              </w:numPr>
              <w:ind w:left="0" w:hanging="2"/>
              <w:rPr>
                <w:sz w:val="20"/>
                <w:szCs w:val="20"/>
              </w:rPr>
            </w:pPr>
            <w:r>
              <w:rPr>
                <w:sz w:val="20"/>
                <w:szCs w:val="20"/>
              </w:rPr>
              <w:t xml:space="preserve">Experience in political scanning, policy research, and analysis of complex socioeconomic and human rights dimensions across humanitarian, development, and peace contexts is an asset. </w:t>
            </w:r>
          </w:p>
          <w:p w14:paraId="392382EA" w14:textId="77777777" w:rsidR="00CD7BF0" w:rsidRDefault="00000000">
            <w:pPr>
              <w:numPr>
                <w:ilvl w:val="0"/>
                <w:numId w:val="3"/>
              </w:numPr>
              <w:ind w:left="0" w:hanging="2"/>
              <w:rPr>
                <w:sz w:val="20"/>
                <w:szCs w:val="20"/>
              </w:rPr>
            </w:pPr>
            <w:r>
              <w:rPr>
                <w:sz w:val="20"/>
                <w:szCs w:val="20"/>
              </w:rPr>
              <w:t>Experience working with engaging civil society, including faith and religious organizations, traditional leaders, women, and youth-led social movements as it relates to the ICPD Programme of Action and the SDGs is desirable.</w:t>
            </w:r>
          </w:p>
          <w:p w14:paraId="226223E0" w14:textId="77777777" w:rsidR="00CD7BF0" w:rsidRDefault="00000000">
            <w:pPr>
              <w:numPr>
                <w:ilvl w:val="0"/>
                <w:numId w:val="3"/>
              </w:numPr>
              <w:ind w:left="0" w:hanging="2"/>
              <w:rPr>
                <w:sz w:val="20"/>
                <w:szCs w:val="20"/>
              </w:rPr>
            </w:pPr>
            <w:r>
              <w:rPr>
                <w:sz w:val="20"/>
                <w:szCs w:val="20"/>
              </w:rPr>
              <w:t>Prior experience in working with UN agencies is an asset.</w:t>
            </w:r>
          </w:p>
          <w:p w14:paraId="2A070C30" w14:textId="77777777" w:rsidR="00CD7BF0" w:rsidRDefault="00000000">
            <w:pPr>
              <w:numPr>
                <w:ilvl w:val="0"/>
                <w:numId w:val="3"/>
              </w:numPr>
              <w:ind w:left="0" w:hanging="2"/>
              <w:rPr>
                <w:sz w:val="20"/>
                <w:szCs w:val="20"/>
              </w:rPr>
            </w:pPr>
            <w:r>
              <w:rPr>
                <w:sz w:val="20"/>
                <w:szCs w:val="20"/>
              </w:rPr>
              <w:t xml:space="preserve">Understanding gender transformative and human rights approaches will be an asset. </w:t>
            </w:r>
          </w:p>
          <w:p w14:paraId="6B6B4FAC" w14:textId="77777777" w:rsidR="00CD7BF0" w:rsidRDefault="00CD7BF0">
            <w:pPr>
              <w:ind w:left="0" w:hanging="2"/>
              <w:rPr>
                <w:sz w:val="20"/>
                <w:szCs w:val="20"/>
              </w:rPr>
            </w:pPr>
          </w:p>
          <w:p w14:paraId="0EDC6935" w14:textId="77777777" w:rsidR="00CD7BF0" w:rsidRDefault="00000000">
            <w:pPr>
              <w:ind w:left="0" w:hanging="2"/>
              <w:rPr>
                <w:b/>
                <w:sz w:val="20"/>
                <w:szCs w:val="20"/>
              </w:rPr>
            </w:pPr>
            <w:r>
              <w:rPr>
                <w:b/>
                <w:sz w:val="20"/>
                <w:szCs w:val="20"/>
              </w:rPr>
              <w:t>Required Competencies:</w:t>
            </w:r>
          </w:p>
          <w:p w14:paraId="38BCC323" w14:textId="77777777" w:rsidR="00CD7BF0" w:rsidRDefault="00000000">
            <w:pPr>
              <w:ind w:left="0" w:hanging="2"/>
              <w:rPr>
                <w:sz w:val="20"/>
                <w:szCs w:val="20"/>
                <w:u w:val="single"/>
              </w:rPr>
            </w:pPr>
            <w:r>
              <w:rPr>
                <w:sz w:val="20"/>
                <w:szCs w:val="20"/>
                <w:u w:val="single"/>
              </w:rPr>
              <w:t>Values:</w:t>
            </w:r>
          </w:p>
          <w:p w14:paraId="3C96E7FD" w14:textId="77777777" w:rsidR="00CD7BF0" w:rsidRDefault="00000000">
            <w:pPr>
              <w:numPr>
                <w:ilvl w:val="0"/>
                <w:numId w:val="5"/>
              </w:numPr>
              <w:ind w:left="0" w:hanging="2"/>
              <w:rPr>
                <w:sz w:val="20"/>
                <w:szCs w:val="20"/>
              </w:rPr>
            </w:pPr>
            <w:r>
              <w:rPr>
                <w:sz w:val="20"/>
                <w:szCs w:val="20"/>
              </w:rPr>
              <w:lastRenderedPageBreak/>
              <w:t>Exemplifying integrity</w:t>
            </w:r>
          </w:p>
          <w:p w14:paraId="044E9953" w14:textId="77777777" w:rsidR="00CD7BF0" w:rsidRDefault="00000000">
            <w:pPr>
              <w:numPr>
                <w:ilvl w:val="0"/>
                <w:numId w:val="5"/>
              </w:numPr>
              <w:ind w:left="0" w:hanging="2"/>
              <w:rPr>
                <w:sz w:val="20"/>
                <w:szCs w:val="20"/>
              </w:rPr>
            </w:pPr>
            <w:r>
              <w:rPr>
                <w:sz w:val="20"/>
                <w:szCs w:val="20"/>
              </w:rPr>
              <w:t>Demonstrating commitment to UNFPA and the UN system</w:t>
            </w:r>
          </w:p>
          <w:p w14:paraId="565CB268" w14:textId="77777777" w:rsidR="00CD7BF0" w:rsidRDefault="00000000">
            <w:pPr>
              <w:numPr>
                <w:ilvl w:val="0"/>
                <w:numId w:val="5"/>
              </w:numPr>
              <w:ind w:left="0" w:hanging="2"/>
              <w:rPr>
                <w:sz w:val="20"/>
                <w:szCs w:val="20"/>
              </w:rPr>
            </w:pPr>
            <w:r>
              <w:rPr>
                <w:sz w:val="20"/>
                <w:szCs w:val="20"/>
              </w:rPr>
              <w:t>Embracing cultural diversity</w:t>
            </w:r>
          </w:p>
          <w:p w14:paraId="3D3534E5" w14:textId="77777777" w:rsidR="00CD7BF0" w:rsidRDefault="00000000">
            <w:pPr>
              <w:numPr>
                <w:ilvl w:val="0"/>
                <w:numId w:val="5"/>
              </w:numPr>
              <w:ind w:left="0" w:hanging="2"/>
              <w:rPr>
                <w:sz w:val="20"/>
                <w:szCs w:val="20"/>
              </w:rPr>
            </w:pPr>
            <w:r>
              <w:rPr>
                <w:sz w:val="20"/>
                <w:szCs w:val="20"/>
              </w:rPr>
              <w:t>Embracing change</w:t>
            </w:r>
          </w:p>
          <w:p w14:paraId="3D3B0B5C" w14:textId="77777777" w:rsidR="00CD7BF0" w:rsidRDefault="00CD7BF0">
            <w:pPr>
              <w:ind w:left="0" w:hanging="2"/>
              <w:rPr>
                <w:sz w:val="20"/>
                <w:szCs w:val="20"/>
              </w:rPr>
            </w:pPr>
          </w:p>
          <w:p w14:paraId="1D2F9DEB" w14:textId="77777777" w:rsidR="00CD7BF0" w:rsidRDefault="00000000">
            <w:pPr>
              <w:ind w:left="0" w:hanging="2"/>
              <w:rPr>
                <w:sz w:val="20"/>
                <w:szCs w:val="20"/>
                <w:u w:val="single"/>
              </w:rPr>
            </w:pPr>
            <w:r>
              <w:rPr>
                <w:sz w:val="20"/>
                <w:szCs w:val="20"/>
                <w:u w:val="single"/>
              </w:rPr>
              <w:t>Core Competencies:</w:t>
            </w:r>
          </w:p>
          <w:p w14:paraId="46C9FD83" w14:textId="77777777" w:rsidR="00CD7BF0" w:rsidRDefault="00000000">
            <w:pPr>
              <w:numPr>
                <w:ilvl w:val="0"/>
                <w:numId w:val="6"/>
              </w:numPr>
              <w:ind w:left="0" w:hanging="2"/>
              <w:rPr>
                <w:sz w:val="20"/>
                <w:szCs w:val="20"/>
              </w:rPr>
            </w:pPr>
            <w:r>
              <w:rPr>
                <w:sz w:val="20"/>
                <w:szCs w:val="20"/>
              </w:rPr>
              <w:t>Achieving results</w:t>
            </w:r>
          </w:p>
          <w:p w14:paraId="4E0F6CD2" w14:textId="77777777" w:rsidR="00CD7BF0" w:rsidRDefault="00000000">
            <w:pPr>
              <w:numPr>
                <w:ilvl w:val="0"/>
                <w:numId w:val="6"/>
              </w:numPr>
              <w:ind w:left="0" w:hanging="2"/>
              <w:rPr>
                <w:sz w:val="20"/>
                <w:szCs w:val="20"/>
              </w:rPr>
            </w:pPr>
            <w:r>
              <w:rPr>
                <w:sz w:val="20"/>
                <w:szCs w:val="20"/>
              </w:rPr>
              <w:t>Being accountable</w:t>
            </w:r>
          </w:p>
          <w:p w14:paraId="40CE9326" w14:textId="77777777" w:rsidR="00CD7BF0" w:rsidRDefault="00000000">
            <w:pPr>
              <w:numPr>
                <w:ilvl w:val="0"/>
                <w:numId w:val="6"/>
              </w:numPr>
              <w:ind w:left="0" w:hanging="2"/>
              <w:rPr>
                <w:sz w:val="20"/>
                <w:szCs w:val="20"/>
              </w:rPr>
            </w:pPr>
            <w:r>
              <w:rPr>
                <w:sz w:val="20"/>
                <w:szCs w:val="20"/>
              </w:rPr>
              <w:t>Developing and applying professional expertise/business acumen,</w:t>
            </w:r>
          </w:p>
          <w:p w14:paraId="4FEFF0FF" w14:textId="77777777" w:rsidR="00CD7BF0" w:rsidRDefault="00000000">
            <w:pPr>
              <w:numPr>
                <w:ilvl w:val="0"/>
                <w:numId w:val="6"/>
              </w:numPr>
              <w:ind w:left="0" w:hanging="2"/>
              <w:rPr>
                <w:sz w:val="20"/>
                <w:szCs w:val="20"/>
              </w:rPr>
            </w:pPr>
            <w:r>
              <w:rPr>
                <w:sz w:val="20"/>
                <w:szCs w:val="20"/>
              </w:rPr>
              <w:t>Thinking analytically and strategically</w:t>
            </w:r>
          </w:p>
          <w:p w14:paraId="42FD3875" w14:textId="77777777" w:rsidR="00CD7BF0" w:rsidRDefault="00000000">
            <w:pPr>
              <w:numPr>
                <w:ilvl w:val="0"/>
                <w:numId w:val="6"/>
              </w:numPr>
              <w:ind w:left="0" w:hanging="2"/>
              <w:rPr>
                <w:sz w:val="20"/>
                <w:szCs w:val="20"/>
              </w:rPr>
            </w:pPr>
            <w:r>
              <w:rPr>
                <w:sz w:val="20"/>
                <w:szCs w:val="20"/>
              </w:rPr>
              <w:t>Working in teams/managing ourselves and our relationships</w:t>
            </w:r>
          </w:p>
          <w:p w14:paraId="076BC7D5" w14:textId="77777777" w:rsidR="00CD7BF0" w:rsidRDefault="00000000">
            <w:pPr>
              <w:numPr>
                <w:ilvl w:val="0"/>
                <w:numId w:val="6"/>
              </w:numPr>
              <w:ind w:left="0" w:hanging="2"/>
              <w:rPr>
                <w:sz w:val="20"/>
                <w:szCs w:val="20"/>
              </w:rPr>
            </w:pPr>
            <w:r>
              <w:rPr>
                <w:sz w:val="20"/>
                <w:szCs w:val="20"/>
              </w:rPr>
              <w:t>Communicating for impact</w:t>
            </w:r>
          </w:p>
          <w:p w14:paraId="4CDDFC5D" w14:textId="77777777" w:rsidR="00CD7BF0" w:rsidRDefault="00CD7BF0">
            <w:pPr>
              <w:ind w:left="0" w:hanging="2"/>
              <w:rPr>
                <w:sz w:val="20"/>
                <w:szCs w:val="20"/>
              </w:rPr>
            </w:pPr>
          </w:p>
          <w:p w14:paraId="7B274849" w14:textId="77777777" w:rsidR="00CD7BF0" w:rsidRDefault="00000000">
            <w:pPr>
              <w:ind w:left="0" w:hanging="2"/>
              <w:rPr>
                <w:sz w:val="20"/>
                <w:szCs w:val="20"/>
                <w:u w:val="single"/>
              </w:rPr>
            </w:pPr>
            <w:r>
              <w:rPr>
                <w:sz w:val="20"/>
                <w:szCs w:val="20"/>
                <w:u w:val="single"/>
              </w:rPr>
              <w:t>Functional Competencies:</w:t>
            </w:r>
          </w:p>
          <w:p w14:paraId="2D0D03D1" w14:textId="77777777" w:rsidR="00CD7BF0" w:rsidRDefault="00000000">
            <w:pPr>
              <w:numPr>
                <w:ilvl w:val="0"/>
                <w:numId w:val="4"/>
              </w:numPr>
              <w:ind w:left="0" w:hanging="2"/>
              <w:rPr>
                <w:sz w:val="20"/>
                <w:szCs w:val="20"/>
              </w:rPr>
            </w:pPr>
            <w:r>
              <w:rPr>
                <w:sz w:val="20"/>
                <w:szCs w:val="20"/>
              </w:rPr>
              <w:t>Delivering results-based programme/Ability to meet the deadlines</w:t>
            </w:r>
          </w:p>
          <w:p w14:paraId="675846F5" w14:textId="77777777" w:rsidR="00CD7BF0" w:rsidRDefault="00000000">
            <w:pPr>
              <w:numPr>
                <w:ilvl w:val="0"/>
                <w:numId w:val="4"/>
              </w:numPr>
              <w:ind w:left="0" w:hanging="2"/>
              <w:rPr>
                <w:sz w:val="20"/>
                <w:szCs w:val="20"/>
              </w:rPr>
            </w:pPr>
            <w:r>
              <w:rPr>
                <w:sz w:val="20"/>
                <w:szCs w:val="20"/>
              </w:rPr>
              <w:t>Good planning and organisational skills including multi-tasking and time management</w:t>
            </w:r>
          </w:p>
          <w:p w14:paraId="40A723A2" w14:textId="77777777" w:rsidR="00CD7BF0" w:rsidRDefault="00000000">
            <w:pPr>
              <w:numPr>
                <w:ilvl w:val="0"/>
                <w:numId w:val="4"/>
              </w:numPr>
              <w:ind w:left="0" w:hanging="2"/>
              <w:rPr>
                <w:sz w:val="20"/>
                <w:szCs w:val="20"/>
              </w:rPr>
            </w:pPr>
            <w:r>
              <w:rPr>
                <w:sz w:val="20"/>
                <w:szCs w:val="20"/>
              </w:rPr>
              <w:t>Excellent writing and communication skills in English</w:t>
            </w:r>
          </w:p>
          <w:p w14:paraId="670ED6A4" w14:textId="77777777" w:rsidR="00CD7BF0" w:rsidRDefault="00000000">
            <w:pPr>
              <w:numPr>
                <w:ilvl w:val="0"/>
                <w:numId w:val="4"/>
              </w:numPr>
              <w:ind w:left="0" w:hanging="2"/>
              <w:rPr>
                <w:sz w:val="20"/>
                <w:szCs w:val="20"/>
              </w:rPr>
            </w:pPr>
            <w:r>
              <w:rPr>
                <w:sz w:val="20"/>
                <w:szCs w:val="20"/>
              </w:rPr>
              <w:t>Proficiency in statistical, projection software and MS Office software</w:t>
            </w:r>
          </w:p>
          <w:p w14:paraId="3F4D34C9" w14:textId="77777777" w:rsidR="00CD7BF0" w:rsidRDefault="00000000">
            <w:pPr>
              <w:numPr>
                <w:ilvl w:val="0"/>
                <w:numId w:val="4"/>
              </w:numPr>
              <w:ind w:left="0" w:hanging="2"/>
              <w:rPr>
                <w:sz w:val="20"/>
                <w:szCs w:val="20"/>
              </w:rPr>
            </w:pPr>
            <w:r>
              <w:rPr>
                <w:sz w:val="20"/>
                <w:szCs w:val="20"/>
              </w:rPr>
              <w:t>Excellent analytical and report writing skills</w:t>
            </w:r>
          </w:p>
          <w:p w14:paraId="0FEEC961" w14:textId="77777777" w:rsidR="00CD7BF0" w:rsidRDefault="00CD7BF0">
            <w:pPr>
              <w:ind w:left="0" w:hanging="2"/>
              <w:rPr>
                <w:sz w:val="20"/>
                <w:szCs w:val="20"/>
              </w:rPr>
            </w:pPr>
          </w:p>
          <w:p w14:paraId="56B05738" w14:textId="77777777" w:rsidR="00CD7BF0" w:rsidRDefault="00000000">
            <w:pPr>
              <w:ind w:left="0" w:hanging="2"/>
              <w:rPr>
                <w:sz w:val="20"/>
                <w:szCs w:val="20"/>
                <w:u w:val="single"/>
              </w:rPr>
            </w:pPr>
            <w:r>
              <w:rPr>
                <w:sz w:val="20"/>
                <w:szCs w:val="20"/>
                <w:u w:val="single"/>
              </w:rPr>
              <w:t>Language:</w:t>
            </w:r>
          </w:p>
          <w:p w14:paraId="460ED609" w14:textId="77777777" w:rsidR="00CD7BF0" w:rsidRDefault="00000000">
            <w:pPr>
              <w:ind w:left="0" w:hanging="2"/>
              <w:rPr>
                <w:sz w:val="20"/>
                <w:szCs w:val="20"/>
              </w:rPr>
            </w:pPr>
            <w:r>
              <w:rPr>
                <w:sz w:val="20"/>
                <w:szCs w:val="20"/>
              </w:rPr>
              <w:t>Fluency in spoken and written English and Tamil and/or Sinhala</w:t>
            </w:r>
          </w:p>
          <w:p w14:paraId="4235F72E" w14:textId="77777777" w:rsidR="00CD7BF0" w:rsidRDefault="00CD7BF0">
            <w:pPr>
              <w:ind w:left="0" w:hanging="2"/>
              <w:rPr>
                <w:sz w:val="20"/>
                <w:szCs w:val="20"/>
              </w:rPr>
            </w:pPr>
          </w:p>
        </w:tc>
      </w:tr>
      <w:tr w:rsidR="00CD7BF0" w14:paraId="2BC2C738" w14:textId="77777777">
        <w:trPr>
          <w:trHeight w:val="1510"/>
        </w:trPr>
        <w:tc>
          <w:tcPr>
            <w:tcW w:w="296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795C0900" w14:textId="77777777" w:rsidR="00CD7BF0" w:rsidRDefault="00000000">
            <w:pPr>
              <w:ind w:left="0" w:hanging="2"/>
              <w:rPr>
                <w:sz w:val="20"/>
                <w:szCs w:val="20"/>
              </w:rPr>
            </w:pPr>
            <w:r>
              <w:rPr>
                <w:sz w:val="20"/>
                <w:szCs w:val="20"/>
              </w:rPr>
              <w:lastRenderedPageBreak/>
              <w:t>Inputs / services to be provided by UNFPA or implementing partner (e.g. </w:t>
            </w:r>
          </w:p>
          <w:p w14:paraId="5AD23192" w14:textId="77777777" w:rsidR="00CD7BF0" w:rsidRDefault="00000000">
            <w:pPr>
              <w:ind w:left="0" w:hanging="2"/>
              <w:rPr>
                <w:sz w:val="20"/>
                <w:szCs w:val="20"/>
              </w:rPr>
            </w:pPr>
            <w:r>
              <w:rPr>
                <w:sz w:val="20"/>
                <w:szCs w:val="20"/>
              </w:rPr>
              <w:t>support services, office space, equipment), if applicable: </w:t>
            </w:r>
          </w:p>
        </w:tc>
        <w:tc>
          <w:tcPr>
            <w:tcW w:w="6382" w:type="dxa"/>
            <w:tcBorders>
              <w:top w:val="single" w:sz="6" w:space="0" w:color="000000"/>
              <w:left w:val="single" w:sz="6" w:space="0" w:color="000000"/>
              <w:bottom w:val="single" w:sz="6" w:space="0" w:color="000000"/>
              <w:right w:val="single" w:sz="6" w:space="0" w:color="000000"/>
            </w:tcBorders>
            <w:tcMar>
              <w:top w:w="55" w:type="dxa"/>
              <w:left w:w="173" w:type="dxa"/>
              <w:bottom w:w="0" w:type="dxa"/>
              <w:right w:w="144" w:type="dxa"/>
            </w:tcMar>
          </w:tcPr>
          <w:p w14:paraId="4CC48F85" w14:textId="77777777" w:rsidR="00CD7BF0" w:rsidRDefault="00000000">
            <w:pPr>
              <w:ind w:left="0" w:right="223" w:hanging="2"/>
              <w:rPr>
                <w:sz w:val="20"/>
                <w:szCs w:val="20"/>
              </w:rPr>
            </w:pPr>
            <w:r>
              <w:rPr>
                <w:sz w:val="20"/>
                <w:szCs w:val="20"/>
              </w:rPr>
              <w:t xml:space="preserve">Office space. The consultant is expected to use her/his own office equipment. </w:t>
            </w:r>
          </w:p>
        </w:tc>
      </w:tr>
    </w:tbl>
    <w:p w14:paraId="09470FC0" w14:textId="77777777" w:rsidR="00CD7BF0" w:rsidRDefault="00000000">
      <w:pPr>
        <w:ind w:left="0" w:hanging="2"/>
        <w:rPr>
          <w:sz w:val="20"/>
          <w:szCs w:val="20"/>
        </w:rPr>
      </w:pPr>
      <w:r>
        <w:rPr>
          <w:sz w:val="20"/>
          <w:szCs w:val="20"/>
        </w:rPr>
        <w:t xml:space="preserve">  </w:t>
      </w:r>
      <w:r>
        <w:rPr>
          <w:sz w:val="20"/>
          <w:szCs w:val="20"/>
        </w:rPr>
        <w:tab/>
        <w:t> </w:t>
      </w:r>
    </w:p>
    <w:p w14:paraId="0634004F" w14:textId="77777777" w:rsidR="00CD7BF0" w:rsidRDefault="00CD7BF0">
      <w:pPr>
        <w:spacing w:after="258"/>
        <w:ind w:left="0" w:hanging="2"/>
        <w:jc w:val="center"/>
        <w:rPr>
          <w:b/>
          <w:sz w:val="20"/>
          <w:szCs w:val="20"/>
          <w:highlight w:val="yellow"/>
        </w:rPr>
      </w:pPr>
    </w:p>
    <w:p w14:paraId="13FC9C16" w14:textId="77777777" w:rsidR="00CD7BF0" w:rsidRDefault="00CD7BF0">
      <w:pPr>
        <w:spacing w:after="258"/>
        <w:ind w:left="0" w:hanging="2"/>
        <w:jc w:val="center"/>
        <w:rPr>
          <w:b/>
          <w:sz w:val="20"/>
          <w:szCs w:val="20"/>
          <w:highlight w:val="yellow"/>
        </w:rPr>
      </w:pPr>
    </w:p>
    <w:p w14:paraId="5CFCB31C" w14:textId="77777777" w:rsidR="00CD7BF0" w:rsidRDefault="00CD7BF0">
      <w:pPr>
        <w:spacing w:after="258"/>
        <w:ind w:left="0" w:hanging="2"/>
        <w:jc w:val="center"/>
        <w:rPr>
          <w:b/>
          <w:sz w:val="20"/>
          <w:szCs w:val="20"/>
          <w:highlight w:val="yellow"/>
        </w:rPr>
      </w:pPr>
    </w:p>
    <w:p w14:paraId="65701F13" w14:textId="77777777" w:rsidR="00CD7BF0" w:rsidRDefault="00CD7BF0">
      <w:pPr>
        <w:ind w:left="0" w:hanging="2"/>
        <w:rPr>
          <w:b/>
          <w:sz w:val="20"/>
          <w:szCs w:val="20"/>
          <w:highlight w:val="yellow"/>
        </w:rPr>
      </w:pPr>
    </w:p>
    <w:sectPr w:rsidR="00CD7BF0">
      <w:headerReference w:type="default" r:id="rId8"/>
      <w:footerReference w:type="default" r:id="rId9"/>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C5045" w14:textId="77777777" w:rsidR="005A3868" w:rsidRDefault="005A3868">
      <w:pPr>
        <w:spacing w:line="240" w:lineRule="auto"/>
        <w:ind w:left="0" w:hanging="2"/>
      </w:pPr>
      <w:r>
        <w:separator/>
      </w:r>
    </w:p>
  </w:endnote>
  <w:endnote w:type="continuationSeparator" w:id="0">
    <w:p w14:paraId="7C0EA410" w14:textId="77777777" w:rsidR="005A3868" w:rsidRDefault="005A386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17DD" w14:textId="77777777" w:rsidR="00CD7BF0" w:rsidRDefault="00CD7BF0">
    <w:pPr>
      <w:ind w:left="0" w:hanging="2"/>
      <w:jc w:val="center"/>
      <w:rPr>
        <w:sz w:val="20"/>
        <w:szCs w:val="20"/>
      </w:rPr>
    </w:pPr>
  </w:p>
  <w:p w14:paraId="745253B9" w14:textId="77777777" w:rsidR="00CD7BF0" w:rsidRDefault="00CD7BF0">
    <w:pPr>
      <w:pBdr>
        <w:top w:val="nil"/>
        <w:left w:val="nil"/>
        <w:bottom w:val="nil"/>
        <w:right w:val="nil"/>
        <w:between w:val="nil"/>
      </w:pBdr>
      <w:tabs>
        <w:tab w:val="center" w:pos="4680"/>
        <w:tab w:val="right" w:pos="9360"/>
      </w:tabs>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44AF" w14:textId="77777777" w:rsidR="005A3868" w:rsidRDefault="005A3868">
      <w:pPr>
        <w:spacing w:line="240" w:lineRule="auto"/>
        <w:ind w:left="0" w:hanging="2"/>
      </w:pPr>
      <w:r>
        <w:separator/>
      </w:r>
    </w:p>
  </w:footnote>
  <w:footnote w:type="continuationSeparator" w:id="0">
    <w:p w14:paraId="20BC3F71" w14:textId="77777777" w:rsidR="005A3868" w:rsidRDefault="005A386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9EA0E" w14:textId="77777777" w:rsidR="00CD7BF0" w:rsidRDefault="00CD7BF0">
    <w:pPr>
      <w:pBdr>
        <w:top w:val="nil"/>
        <w:left w:val="nil"/>
        <w:bottom w:val="nil"/>
        <w:right w:val="nil"/>
        <w:between w:val="nil"/>
      </w:pBdr>
      <w:tabs>
        <w:tab w:val="center" w:pos="4680"/>
        <w:tab w:val="right" w:pos="9360"/>
      </w:tabs>
      <w:spacing w:line="240" w:lineRule="auto"/>
      <w:ind w:left="0" w:hanging="2"/>
      <w:jc w:val="right"/>
      <w:rPr>
        <w:color w:val="000000"/>
      </w:rPr>
    </w:pPr>
  </w:p>
  <w:p w14:paraId="4A54FFDD" w14:textId="77777777" w:rsidR="00CD7BF0" w:rsidRDefault="00CD7BF0">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384D"/>
    <w:multiLevelType w:val="multilevel"/>
    <w:tmpl w:val="2C60A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F712E0"/>
    <w:multiLevelType w:val="multilevel"/>
    <w:tmpl w:val="A66296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E11510"/>
    <w:multiLevelType w:val="multilevel"/>
    <w:tmpl w:val="71D8E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4544E1"/>
    <w:multiLevelType w:val="multilevel"/>
    <w:tmpl w:val="81F40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A5348F"/>
    <w:multiLevelType w:val="multilevel"/>
    <w:tmpl w:val="F9BC3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FD654B"/>
    <w:multiLevelType w:val="multilevel"/>
    <w:tmpl w:val="8118F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8493991">
    <w:abstractNumId w:val="1"/>
  </w:num>
  <w:num w:numId="2" w16cid:durableId="1971548677">
    <w:abstractNumId w:val="0"/>
  </w:num>
  <w:num w:numId="3" w16cid:durableId="1074090846">
    <w:abstractNumId w:val="4"/>
  </w:num>
  <w:num w:numId="4" w16cid:durableId="1026642974">
    <w:abstractNumId w:val="5"/>
  </w:num>
  <w:num w:numId="5" w16cid:durableId="740911385">
    <w:abstractNumId w:val="3"/>
  </w:num>
  <w:num w:numId="6" w16cid:durableId="413405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F0"/>
    <w:rsid w:val="00175126"/>
    <w:rsid w:val="005877AC"/>
    <w:rsid w:val="005A3868"/>
    <w:rsid w:val="00CD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9A8F"/>
  <w15:docId w15:val="{E9B7C67F-4637-41BE-BAC3-D6E59573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libri Light" w:hAnsi="Calibri Light"/>
      <w:b/>
      <w:bCs/>
      <w:kern w:val="32"/>
      <w:sz w:val="32"/>
      <w:szCs w:val="32"/>
    </w:rPr>
  </w:style>
  <w:style w:type="paragraph" w:styleId="Heading2">
    <w:name w:val="heading 2"/>
    <w:basedOn w:val="Normal"/>
    <w:next w:val="Normal"/>
    <w:uiPriority w:val="9"/>
    <w:semiHidden/>
    <w:unhideWhenUsed/>
    <w:qFormat/>
    <w:pPr>
      <w:keepNext/>
      <w:outlineLvl w:val="1"/>
    </w:pPr>
    <w:rPr>
      <w:b/>
      <w:bCs/>
      <w:u w:val="single"/>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26"/>
      <w:lang w:val="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effect w:val="none"/>
      <w:vertAlign w:val="baseline"/>
      <w:cs w:val="0"/>
      <w:em w:val="none"/>
      <w:lang w:val="en-GB" w:bidi="ar-SA"/>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n-GB" w:bidi="ar-SA"/>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GB"/>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GB"/>
    </w:rPr>
  </w:style>
  <w:style w:type="character" w:customStyle="1" w:styleId="Heading2Char">
    <w:name w:val="Heading 2 Char"/>
    <w:rPr>
      <w:b/>
      <w:bCs/>
      <w:w w:val="100"/>
      <w:position w:val="-1"/>
      <w:sz w:val="24"/>
      <w:szCs w:val="24"/>
      <w:u w:val="single"/>
      <w:effect w:val="none"/>
      <w:vertAlign w:val="baseline"/>
      <w:cs w:val="0"/>
      <w:em w:val="none"/>
    </w:rPr>
  </w:style>
  <w:style w:type="character" w:customStyle="1" w:styleId="TitleChar">
    <w:name w:val="Title Char"/>
    <w:rPr>
      <w:b/>
      <w:bCs/>
      <w:w w:val="100"/>
      <w:position w:val="-1"/>
      <w:sz w:val="26"/>
      <w:szCs w:val="24"/>
      <w:effect w:val="none"/>
      <w:vertAlign w:val="baseline"/>
      <w:cs w:val="0"/>
      <w:em w:val="none"/>
    </w:rPr>
  </w:style>
  <w:style w:type="paragraph" w:styleId="ListParagraph">
    <w:name w:val="List Paragraph"/>
    <w:basedOn w:val="Normal"/>
    <w:pPr>
      <w:ind w:left="720"/>
    </w:pPr>
    <w:rPr>
      <w:lang w:val="en-US"/>
    </w:rPr>
  </w:style>
  <w:style w:type="character" w:styleId="BookTitle">
    <w:name w:val="Book Title"/>
    <w:rPr>
      <w:b/>
      <w:bCs/>
      <w:smallCaps/>
      <w:spacing w:val="5"/>
      <w:w w:val="100"/>
      <w:position w:val="-1"/>
      <w:effect w:val="none"/>
      <w:vertAlign w:val="baseline"/>
      <w:cs w:val="0"/>
      <w:em w:val="none"/>
    </w:rPr>
  </w:style>
  <w:style w:type="paragraph" w:customStyle="1" w:styleId="letter">
    <w:name w:val="letter"/>
    <w:basedOn w:val="Normal"/>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Cs w:val="20"/>
      <w:lang w:val="en-US"/>
    </w:rPr>
  </w:style>
  <w:style w:type="character" w:customStyle="1" w:styleId="ListParagraphChar">
    <w:name w:val="List Paragraph Char"/>
    <w:rPr>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rPr>
      <w:lang w:val="en-US"/>
    </w:rPr>
  </w:style>
  <w:style w:type="character" w:customStyle="1" w:styleId="im">
    <w:name w:val="im"/>
    <w:rPr>
      <w:w w:val="100"/>
      <w:position w:val="-1"/>
      <w:effect w:val="none"/>
      <w:vertAlign w:val="baseline"/>
      <w:cs w:val="0"/>
      <w:em w:val="none"/>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lang w:val="en-GB"/>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styleId="Hyperlink">
    <w:name w:val="Hyperlink"/>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left w:w="177" w:type="dxa"/>
        <w:right w:w="177"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BQIKvQTUrd4lH9azBdgvQWyzqQ==">CgMxLjA4AHIhMW9Fd3VSYkhMUEFUUV9FMnFPQVF5bjFkTWtKZTNGSE9I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Lankani</dc:creator>
  <cp:lastModifiedBy>Nayana Apsara</cp:lastModifiedBy>
  <cp:revision>2</cp:revision>
  <dcterms:created xsi:type="dcterms:W3CDTF">2024-05-14T04:11:00Z</dcterms:created>
  <dcterms:modified xsi:type="dcterms:W3CDTF">2025-02-18T09:49:00Z</dcterms:modified>
</cp:coreProperties>
</file>